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HelveticaNeue" w:hAnsi="HelveticaNeue" w:cs="HelveticaNeue"/>
          <w:color w:val="000000"/>
          <w:sz w:val="48"/>
          <w:szCs w:val="48"/>
        </w:rPr>
      </w:pPr>
      <w:r>
        <w:rPr>
          <w:rFonts w:ascii="HelveticaNeue" w:hAnsi="HelveticaNeue" w:cs="HelveticaNeue"/>
          <w:color w:val="000000"/>
          <w:sz w:val="48"/>
          <w:szCs w:val="48"/>
        </w:rPr>
        <w:t xml:space="preserve">Género y </w:t>
      </w:r>
      <w:proofErr w:type="spellStart"/>
      <w:r>
        <w:rPr>
          <w:rFonts w:ascii="HelveticaNeue" w:hAnsi="HelveticaNeue" w:cs="HelveticaNeue"/>
          <w:color w:val="000000"/>
          <w:sz w:val="48"/>
          <w:szCs w:val="48"/>
        </w:rPr>
        <w:t>transversalización</w:t>
      </w:r>
      <w:proofErr w:type="spellEnd"/>
      <w:r>
        <w:rPr>
          <w:rFonts w:ascii="HelveticaNeue" w:hAnsi="HelveticaNeue" w:cs="HelveticaNeue"/>
          <w:color w:val="000000"/>
          <w:sz w:val="48"/>
          <w:szCs w:val="48"/>
        </w:rPr>
        <w:t xml:space="preserve"> del género</w:t>
      </w:r>
    </w:p>
    <w:p w:rsidR="00224C4F" w:rsidRDefault="00224C4F" w:rsidP="00224C4F">
      <w:pPr>
        <w:autoSpaceDE w:val="0"/>
        <w:autoSpaceDN w:val="0"/>
        <w:adjustRightInd w:val="0"/>
        <w:spacing w:after="0" w:line="240" w:lineRule="auto"/>
        <w:ind w:left="2124"/>
        <w:rPr>
          <w:rFonts w:cs="CenturyGothic-Italic"/>
          <w:iCs/>
          <w:color w:val="000000"/>
          <w:sz w:val="16"/>
          <w:szCs w:val="16"/>
        </w:rPr>
      </w:pPr>
    </w:p>
    <w:p w:rsidR="00801871" w:rsidRDefault="00224C4F" w:rsidP="00224C4F">
      <w:pPr>
        <w:autoSpaceDE w:val="0"/>
        <w:autoSpaceDN w:val="0"/>
        <w:adjustRightInd w:val="0"/>
        <w:spacing w:after="0" w:line="240" w:lineRule="auto"/>
        <w:ind w:left="2124"/>
        <w:rPr>
          <w:rFonts w:cs="HelveticaNeue"/>
          <w:sz w:val="16"/>
          <w:szCs w:val="16"/>
        </w:rPr>
      </w:pPr>
      <w:r w:rsidRPr="00224C4F">
        <w:rPr>
          <w:rFonts w:cs="CenturyGothic-Italic"/>
          <w:iCs/>
          <w:color w:val="000000"/>
          <w:sz w:val="16"/>
          <w:szCs w:val="16"/>
        </w:rPr>
        <w:t xml:space="preserve">Tomado del Manual de capacitación en Género y cambio climático elaborado por la </w:t>
      </w:r>
      <w:r w:rsidRPr="00224C4F">
        <w:rPr>
          <w:rFonts w:cs="HelveticaNeue"/>
          <w:sz w:val="16"/>
          <w:szCs w:val="16"/>
        </w:rPr>
        <w:t>Alianza Mundial de Género y Cambio Climático (GGCA), integrado por el Programa de las Naciones Unidas para el Desarrollo (PNUD), la Unión Internacional para la Conservación de la Naturaleza (UICN) y el Programa de las Naciones Unidas para el Medio Ambiente (PNUMA), Costa Rica, 2009.</w:t>
      </w:r>
    </w:p>
    <w:p w:rsidR="00224C4F" w:rsidRPr="00224C4F" w:rsidRDefault="00224C4F" w:rsidP="00224C4F">
      <w:pPr>
        <w:autoSpaceDE w:val="0"/>
        <w:autoSpaceDN w:val="0"/>
        <w:adjustRightInd w:val="0"/>
        <w:spacing w:after="0" w:line="240" w:lineRule="auto"/>
        <w:ind w:left="2124"/>
        <w:rPr>
          <w:rFonts w:cs="HelveticaNeue"/>
          <w:sz w:val="16"/>
          <w:szCs w:val="1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-Italic" w:hAnsi="CenturyGothic-Italic" w:cs="CenturyGothic-Italic"/>
          <w:i/>
          <w:iCs/>
          <w:color w:val="000000"/>
          <w:sz w:val="19"/>
          <w:szCs w:val="19"/>
        </w:rPr>
      </w:pPr>
      <w:r>
        <w:rPr>
          <w:rFonts w:ascii="CenturyGothic-Italic" w:hAnsi="CenturyGothic-Italic" w:cs="CenturyGothic-Italic"/>
          <w:i/>
          <w:iCs/>
          <w:color w:val="000000"/>
          <w:sz w:val="19"/>
          <w:szCs w:val="19"/>
        </w:rPr>
        <w:t>La desigualdad de género es más perversa que otras formas de desigualdad, atraviesa otras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-Italic" w:hAnsi="CenturyGothic-Italic" w:cs="CenturyGothic-Italic"/>
          <w:i/>
          <w:iCs/>
          <w:color w:val="000000"/>
          <w:sz w:val="19"/>
          <w:szCs w:val="19"/>
        </w:rPr>
      </w:pPr>
      <w:proofErr w:type="gramStart"/>
      <w:r>
        <w:rPr>
          <w:rFonts w:ascii="CenturyGothic-Italic" w:hAnsi="CenturyGothic-Italic" w:cs="CenturyGothic-Italic"/>
          <w:i/>
          <w:iCs/>
          <w:color w:val="000000"/>
          <w:sz w:val="19"/>
          <w:szCs w:val="19"/>
        </w:rPr>
        <w:t>formas</w:t>
      </w:r>
      <w:proofErr w:type="gramEnd"/>
      <w:r>
        <w:rPr>
          <w:rFonts w:ascii="CenturyGothic-Italic" w:hAnsi="CenturyGothic-Italic" w:cs="CenturyGothic-Italic"/>
          <w:i/>
          <w:iCs/>
          <w:color w:val="000000"/>
          <w:sz w:val="19"/>
          <w:szCs w:val="19"/>
        </w:rPr>
        <w:t xml:space="preserve"> de desigualdad convirtiéndose en una característica tanto de ricos como pobres,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-Italic" w:hAnsi="CenturyGothic-Italic" w:cs="CenturyGothic-Italic"/>
          <w:i/>
          <w:iCs/>
          <w:color w:val="000000"/>
          <w:sz w:val="19"/>
          <w:szCs w:val="19"/>
        </w:rPr>
      </w:pPr>
      <w:proofErr w:type="gramStart"/>
      <w:r>
        <w:rPr>
          <w:rFonts w:ascii="CenturyGothic-Italic" w:hAnsi="CenturyGothic-Italic" w:cs="CenturyGothic-Italic"/>
          <w:i/>
          <w:iCs/>
          <w:color w:val="000000"/>
          <w:sz w:val="19"/>
          <w:szCs w:val="19"/>
        </w:rPr>
        <w:t>tanto</w:t>
      </w:r>
      <w:proofErr w:type="gramEnd"/>
      <w:r>
        <w:rPr>
          <w:rFonts w:ascii="CenturyGothic-Italic" w:hAnsi="CenturyGothic-Italic" w:cs="CenturyGothic-Italic"/>
          <w:i/>
          <w:iCs/>
          <w:color w:val="000000"/>
          <w:sz w:val="19"/>
          <w:szCs w:val="19"/>
        </w:rPr>
        <w:t xml:space="preserve"> de grupos raciales dominantes como subordinados, tanto de castas privilegiadas como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-Italic" w:hAnsi="CenturyGothic-Italic" w:cs="CenturyGothic-Italic"/>
          <w:i/>
          <w:iCs/>
          <w:color w:val="000000"/>
          <w:sz w:val="19"/>
          <w:szCs w:val="19"/>
        </w:rPr>
      </w:pPr>
      <w:r>
        <w:rPr>
          <w:rFonts w:ascii="CenturyGothic-Italic" w:hAnsi="CenturyGothic-Italic" w:cs="CenturyGothic-Italic"/>
          <w:i/>
          <w:iCs/>
          <w:color w:val="000000"/>
          <w:sz w:val="19"/>
          <w:szCs w:val="19"/>
        </w:rPr>
        <w:t>“intocables”... la desigualdad de género se entrecruza con la privación económica, generando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-Italic" w:hAnsi="CenturyGothic-Italic" w:cs="CenturyGothic-Italic"/>
          <w:i/>
          <w:iCs/>
          <w:color w:val="000000"/>
          <w:sz w:val="19"/>
          <w:szCs w:val="19"/>
        </w:rPr>
      </w:pPr>
      <w:proofErr w:type="gramStart"/>
      <w:r>
        <w:rPr>
          <w:rFonts w:ascii="CenturyGothic-Italic" w:hAnsi="CenturyGothic-Italic" w:cs="CenturyGothic-Italic"/>
          <w:i/>
          <w:iCs/>
          <w:color w:val="000000"/>
          <w:sz w:val="19"/>
          <w:szCs w:val="19"/>
        </w:rPr>
        <w:t>condiciones</w:t>
      </w:r>
      <w:proofErr w:type="gramEnd"/>
      <w:r>
        <w:rPr>
          <w:rFonts w:ascii="CenturyGothic-Italic" w:hAnsi="CenturyGothic-Italic" w:cs="CenturyGothic-Italic"/>
          <w:i/>
          <w:iCs/>
          <w:color w:val="000000"/>
          <w:sz w:val="19"/>
          <w:szCs w:val="19"/>
        </w:rPr>
        <w:t xml:space="preserve"> más despiadadas de pobreza para mujeres que para hombres. La desigualdad de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-Italic" w:hAnsi="CenturyGothic-Italic" w:cs="CenturyGothic-Italic"/>
          <w:i/>
          <w:iCs/>
          <w:color w:val="000000"/>
          <w:sz w:val="19"/>
          <w:szCs w:val="19"/>
        </w:rPr>
      </w:pPr>
      <w:proofErr w:type="gramStart"/>
      <w:r>
        <w:rPr>
          <w:rFonts w:ascii="CenturyGothic-Italic" w:hAnsi="CenturyGothic-Italic" w:cs="CenturyGothic-Italic"/>
          <w:i/>
          <w:iCs/>
          <w:color w:val="000000"/>
          <w:sz w:val="19"/>
          <w:szCs w:val="19"/>
        </w:rPr>
        <w:t>género</w:t>
      </w:r>
      <w:proofErr w:type="gramEnd"/>
      <w:r>
        <w:rPr>
          <w:rFonts w:ascii="CenturyGothic-Italic" w:hAnsi="CenturyGothic-Italic" w:cs="CenturyGothic-Italic"/>
          <w:i/>
          <w:iCs/>
          <w:color w:val="000000"/>
          <w:sz w:val="19"/>
          <w:szCs w:val="19"/>
        </w:rPr>
        <w:t xml:space="preserve"> es una parte inherente de los procesos que causan y agudizan la pobreza en la sociedad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-Italic" w:hAnsi="CenturyGothic-Italic" w:cs="CenturyGothic-Italic"/>
          <w:i/>
          <w:iCs/>
          <w:color w:val="000000"/>
          <w:sz w:val="19"/>
          <w:szCs w:val="19"/>
        </w:rPr>
      </w:pPr>
      <w:proofErr w:type="gramStart"/>
      <w:r>
        <w:rPr>
          <w:rFonts w:ascii="CenturyGothic-Italic" w:hAnsi="CenturyGothic-Italic" w:cs="CenturyGothic-Italic"/>
          <w:i/>
          <w:iCs/>
          <w:color w:val="000000"/>
          <w:sz w:val="19"/>
          <w:szCs w:val="19"/>
        </w:rPr>
        <w:t>y</w:t>
      </w:r>
      <w:proofErr w:type="gramEnd"/>
      <w:r>
        <w:rPr>
          <w:rFonts w:ascii="CenturyGothic-Italic" w:hAnsi="CenturyGothic-Italic" w:cs="CenturyGothic-Italic"/>
          <w:i/>
          <w:iCs/>
          <w:color w:val="000000"/>
          <w:sz w:val="19"/>
          <w:szCs w:val="19"/>
        </w:rPr>
        <w:t>, por tanto, debe formar parte de las medidas para erradicar la pobreza (</w:t>
      </w:r>
      <w:proofErr w:type="spellStart"/>
      <w:r>
        <w:rPr>
          <w:rFonts w:ascii="CenturyGothic-Italic" w:hAnsi="CenturyGothic-Italic" w:cs="CenturyGothic-Italic"/>
          <w:i/>
          <w:iCs/>
          <w:color w:val="000000"/>
          <w:sz w:val="19"/>
          <w:szCs w:val="19"/>
        </w:rPr>
        <w:t>Kabeer</w:t>
      </w:r>
      <w:proofErr w:type="spellEnd"/>
      <w:r>
        <w:rPr>
          <w:rFonts w:ascii="CenturyGothic-Italic" w:hAnsi="CenturyGothic-Italic" w:cs="CenturyGothic-Italic"/>
          <w:i/>
          <w:iCs/>
          <w:color w:val="000000"/>
          <w:sz w:val="19"/>
          <w:szCs w:val="19"/>
        </w:rPr>
        <w:t>, 2003).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-Italic" w:hAnsi="CenturyGothic-Italic" w:cs="CenturyGothic-Italic"/>
          <w:i/>
          <w:iCs/>
          <w:color w:val="000000"/>
          <w:sz w:val="19"/>
          <w:szCs w:val="19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-BoldItalic" w:hAnsi="CenturyGothic-BoldItalic" w:cs="CenturyGothic-BoldItalic"/>
          <w:b/>
          <w:bCs/>
          <w:i/>
          <w:iCs/>
          <w:color w:val="000000"/>
          <w:sz w:val="26"/>
          <w:szCs w:val="26"/>
        </w:rPr>
      </w:pPr>
      <w:r>
        <w:rPr>
          <w:rFonts w:ascii="CenturyGothic-BoldItalic" w:hAnsi="CenturyGothic-BoldItalic" w:cs="CenturyGothic-BoldItalic"/>
          <w:b/>
          <w:bCs/>
          <w:i/>
          <w:iCs/>
          <w:color w:val="000000"/>
          <w:sz w:val="26"/>
          <w:szCs w:val="26"/>
        </w:rPr>
        <w:t>Mensajes claves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r>
        <w:rPr>
          <w:rFonts w:ascii="CenturyGothic" w:hAnsi="CenturyGothic" w:cs="CenturyGothic"/>
          <w:color w:val="000000"/>
          <w:sz w:val="26"/>
          <w:szCs w:val="26"/>
        </w:rPr>
        <w:t>• “Sexo” y “género” no son lo mismo: entender la diferencia es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proofErr w:type="gramStart"/>
      <w:r>
        <w:rPr>
          <w:rFonts w:ascii="CenturyGothic" w:hAnsi="CenturyGothic" w:cs="CenturyGothic"/>
          <w:color w:val="000000"/>
          <w:sz w:val="26"/>
          <w:szCs w:val="26"/>
        </w:rPr>
        <w:t>crucial</w:t>
      </w:r>
      <w:proofErr w:type="gramEnd"/>
      <w:r>
        <w:rPr>
          <w:rFonts w:ascii="CenturyGothic" w:hAnsi="CenturyGothic" w:cs="CenturyGothic"/>
          <w:color w:val="000000"/>
          <w:sz w:val="26"/>
          <w:szCs w:val="26"/>
        </w:rPr>
        <w:t>;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r>
        <w:rPr>
          <w:rFonts w:ascii="CenturyGothic" w:hAnsi="CenturyGothic" w:cs="CenturyGothic"/>
          <w:color w:val="000000"/>
          <w:sz w:val="26"/>
          <w:szCs w:val="26"/>
        </w:rPr>
        <w:t>• Las brechas/desigualdades de género sí existen: presenta datos y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proofErr w:type="gramStart"/>
      <w:r>
        <w:rPr>
          <w:rFonts w:ascii="CenturyGothic" w:hAnsi="CenturyGothic" w:cs="CenturyGothic"/>
          <w:color w:val="000000"/>
          <w:sz w:val="26"/>
          <w:szCs w:val="26"/>
        </w:rPr>
        <w:t>hechos</w:t>
      </w:r>
      <w:proofErr w:type="gramEnd"/>
      <w:r>
        <w:rPr>
          <w:rFonts w:ascii="CenturyGothic" w:hAnsi="CenturyGothic" w:cs="CenturyGothic"/>
          <w:color w:val="000000"/>
          <w:sz w:val="26"/>
          <w:szCs w:val="26"/>
        </w:rPr>
        <w:t xml:space="preserve"> disponibles;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r>
        <w:rPr>
          <w:rFonts w:ascii="CenturyGothic" w:hAnsi="CenturyGothic" w:cs="CenturyGothic"/>
          <w:color w:val="000000"/>
          <w:sz w:val="26"/>
          <w:szCs w:val="26"/>
        </w:rPr>
        <w:t>• Entender las implicaciones de las brechas/desigualdades de género,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proofErr w:type="spellStart"/>
      <w:r>
        <w:rPr>
          <w:rFonts w:ascii="CenturyGothic" w:hAnsi="CenturyGothic" w:cs="CenturyGothic"/>
          <w:color w:val="000000"/>
          <w:sz w:val="26"/>
          <w:szCs w:val="26"/>
        </w:rPr>
        <w:t>p.e.</w:t>
      </w:r>
      <w:proofErr w:type="spellEnd"/>
      <w:r>
        <w:rPr>
          <w:rFonts w:ascii="CenturyGothic" w:hAnsi="CenturyGothic" w:cs="CenturyGothic"/>
          <w:color w:val="000000"/>
          <w:sz w:val="26"/>
          <w:szCs w:val="26"/>
        </w:rPr>
        <w:t xml:space="preserve"> control sobre activos/bienes;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r>
        <w:rPr>
          <w:rFonts w:ascii="CenturyGothic" w:hAnsi="CenturyGothic" w:cs="CenturyGothic"/>
          <w:color w:val="000000"/>
          <w:sz w:val="26"/>
          <w:szCs w:val="26"/>
        </w:rPr>
        <w:t>• Las consideraciones de género también evidencian otras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proofErr w:type="gramStart"/>
      <w:r>
        <w:rPr>
          <w:rFonts w:ascii="CenturyGothic" w:hAnsi="CenturyGothic" w:cs="CenturyGothic"/>
          <w:color w:val="000000"/>
          <w:sz w:val="26"/>
          <w:szCs w:val="26"/>
        </w:rPr>
        <w:t>desigualdades</w:t>
      </w:r>
      <w:proofErr w:type="gramEnd"/>
      <w:r>
        <w:rPr>
          <w:rFonts w:ascii="CenturyGothic" w:hAnsi="CenturyGothic" w:cs="CenturyGothic"/>
          <w:color w:val="000000"/>
          <w:sz w:val="26"/>
          <w:szCs w:val="26"/>
        </w:rPr>
        <w:t xml:space="preserve">, </w:t>
      </w:r>
      <w:proofErr w:type="spellStart"/>
      <w:r>
        <w:rPr>
          <w:rFonts w:ascii="CenturyGothic-Italic" w:hAnsi="CenturyGothic-Italic" w:cs="CenturyGothic-Italic"/>
          <w:i/>
          <w:iCs/>
          <w:color w:val="000000"/>
          <w:sz w:val="26"/>
          <w:szCs w:val="26"/>
        </w:rPr>
        <w:t>p.e.</w:t>
      </w:r>
      <w:proofErr w:type="spellEnd"/>
      <w:r>
        <w:rPr>
          <w:rFonts w:ascii="CenturyGothic-Italic" w:hAnsi="CenturyGothic-Italic" w:cs="CenturyGothic-Italic"/>
          <w:i/>
          <w:iCs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diferencias de clase y etnia.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-Bold" w:hAnsi="CenturyGothic-Bold" w:cs="CenturyGothic-Bold"/>
          <w:b/>
          <w:bCs/>
          <w:color w:val="000000"/>
          <w:sz w:val="28"/>
          <w:szCs w:val="28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-Bold" w:hAnsi="CenturyGothic-Bold" w:cs="CenturyGothic-Bold"/>
          <w:b/>
          <w:bCs/>
          <w:color w:val="000000"/>
          <w:sz w:val="28"/>
          <w:szCs w:val="28"/>
        </w:rPr>
      </w:pPr>
      <w:r>
        <w:rPr>
          <w:rFonts w:ascii="CenturyGothic-Bold" w:hAnsi="CenturyGothic-Bold" w:cs="CenturyGothic-Bold"/>
          <w:b/>
          <w:bCs/>
          <w:color w:val="000000"/>
          <w:sz w:val="28"/>
          <w:szCs w:val="28"/>
        </w:rPr>
        <w:t>1.1 ¿Qué es género?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r>
        <w:rPr>
          <w:rFonts w:ascii="CenturyGothic" w:hAnsi="CenturyGothic" w:cs="CenturyGothic"/>
          <w:color w:val="000000"/>
          <w:sz w:val="26"/>
          <w:szCs w:val="26"/>
        </w:rPr>
        <w:t>El término “género” se refiere a roles, responsabilidades y oportunidades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r>
        <w:rPr>
          <w:rFonts w:ascii="CenturyGothic" w:hAnsi="CenturyGothic" w:cs="CenturyGothic"/>
          <w:color w:val="000000"/>
          <w:sz w:val="26"/>
          <w:szCs w:val="26"/>
        </w:rPr>
        <w:t>atribuidos por la sociedad, que son asociadas a mujeres y hombres, así como</w:t>
      </w:r>
      <w:r w:rsidR="007203EB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 xml:space="preserve">las estructuras ocultas de poder que rigen las relaciones entre ellos. 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r>
        <w:rPr>
          <w:rFonts w:ascii="CenturyGothic" w:hAnsi="CenturyGothic" w:cs="CenturyGothic"/>
          <w:color w:val="000000"/>
          <w:sz w:val="26"/>
          <w:szCs w:val="26"/>
        </w:rPr>
        <w:t>Género es “... en esencia, un término que se utiliza para enfatizar que la desigualdad sexual no la causan las diferencias anatómicas y fisiológicas que caracterizan</w:t>
      </w:r>
      <w:r w:rsidR="007203EB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a hombres y mujeres, sino más bien el trato desigual e injusto que socialmente se les da. En este sentido, género hace referencia a las condiciones culturales, sociales, económicas y políticas que constituyen la base de ciertos estándares, valores y pautas de conducta, relacionados con los géneros y las relaciones entre ellos” (</w:t>
      </w:r>
      <w:proofErr w:type="spellStart"/>
      <w:r>
        <w:rPr>
          <w:rFonts w:ascii="CenturyGothic" w:hAnsi="CenturyGothic" w:cs="CenturyGothic"/>
          <w:color w:val="000000"/>
          <w:sz w:val="26"/>
          <w:szCs w:val="26"/>
        </w:rPr>
        <w:t>Riquer</w:t>
      </w:r>
      <w:proofErr w:type="spellEnd"/>
      <w:r>
        <w:rPr>
          <w:rFonts w:ascii="CenturyGothic" w:hAnsi="CenturyGothic" w:cs="CenturyGothic"/>
          <w:color w:val="000000"/>
          <w:sz w:val="26"/>
          <w:szCs w:val="26"/>
        </w:rPr>
        <w:t>, 1993).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FFFFFF"/>
          <w:sz w:val="24"/>
          <w:szCs w:val="24"/>
        </w:rPr>
      </w:pPr>
      <w:r>
        <w:rPr>
          <w:rFonts w:ascii="CenturyGothic" w:hAnsi="CenturyGothic" w:cs="CenturyGothic"/>
          <w:color w:val="FFFFFF"/>
          <w:sz w:val="24"/>
          <w:szCs w:val="24"/>
        </w:rPr>
        <w:t>16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r>
        <w:rPr>
          <w:rFonts w:ascii="CenturyGothic" w:hAnsi="CenturyGothic" w:cs="CenturyGothic"/>
          <w:color w:val="000000"/>
          <w:sz w:val="26"/>
          <w:szCs w:val="26"/>
        </w:rPr>
        <w:t>A pesar de los avances alcanzados, en la mayor parte de las sociedades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proofErr w:type="gramStart"/>
      <w:r>
        <w:rPr>
          <w:rFonts w:ascii="CenturyGothic" w:hAnsi="CenturyGothic" w:cs="CenturyGothic"/>
          <w:color w:val="000000"/>
          <w:sz w:val="26"/>
          <w:szCs w:val="26"/>
        </w:rPr>
        <w:t>aún</w:t>
      </w:r>
      <w:proofErr w:type="gramEnd"/>
      <w:r>
        <w:rPr>
          <w:rFonts w:ascii="CenturyGothic" w:hAnsi="CenturyGothic" w:cs="CenturyGothic"/>
          <w:color w:val="000000"/>
          <w:sz w:val="26"/>
          <w:szCs w:val="26"/>
        </w:rPr>
        <w:t xml:space="preserve"> se dan diferencias significativas entre los derechos y oportunidades de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proofErr w:type="gramStart"/>
      <w:r>
        <w:rPr>
          <w:rFonts w:ascii="CenturyGothic" w:hAnsi="CenturyGothic" w:cs="CenturyGothic"/>
          <w:color w:val="000000"/>
          <w:sz w:val="26"/>
          <w:szCs w:val="26"/>
        </w:rPr>
        <w:t>mujeres</w:t>
      </w:r>
      <w:proofErr w:type="gramEnd"/>
      <w:r>
        <w:rPr>
          <w:rFonts w:ascii="CenturyGothic" w:hAnsi="CenturyGothic" w:cs="CenturyGothic"/>
          <w:color w:val="000000"/>
          <w:sz w:val="26"/>
          <w:szCs w:val="26"/>
        </w:rPr>
        <w:t xml:space="preserve"> y hombres. Entre otras, se pueden mencionar diferencias en relación</w:t>
      </w:r>
      <w:r w:rsidR="007203EB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con los derechos a la tierra y otros recursos; posibilidades de ascender en el</w:t>
      </w:r>
      <w:r w:rsidR="007203EB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trabajo y mejores salarios; y oportunidades para participar en procesos de</w:t>
      </w:r>
      <w:r w:rsidR="007203EB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toma de decisiones y de influir en ellos. La realidad es que la desigualdad entre</w:t>
      </w:r>
      <w:r w:rsidR="007203EB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hombres y mujeres está arraigada en las normas y valores sociales alrededor del mundo.</w:t>
      </w:r>
    </w:p>
    <w:p w:rsidR="00801871" w:rsidRDefault="00F735B0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r w:rsidRPr="00F735B0">
        <w:rPr>
          <w:rFonts w:ascii="CenturyGothic" w:hAnsi="CenturyGothic" w:cs="CenturyGothic"/>
          <w:noProof/>
          <w:color w:val="000000"/>
          <w:sz w:val="26"/>
          <w:szCs w:val="26"/>
          <w:lang w:val="es-E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05pt;margin-top:8.15pt;width:459pt;height:354pt;z-index:251660288;mso-height-percent:200;mso-height-percent:200;mso-width-relative:margin;mso-height-relative:margin">
            <v:textbox style="mso-fit-shape-to-text:t">
              <w:txbxContent>
                <w:p w:rsidR="00801871" w:rsidRPr="00801871" w:rsidRDefault="00801871" w:rsidP="00801871">
                  <w:pPr>
                    <w:pStyle w:val="Prrafodelist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HelveticaNeue" w:hAnsi="HelveticaNeue" w:cs="HelveticaNeue"/>
                      <w:color w:val="000000"/>
                    </w:rPr>
                  </w:pPr>
                  <w:r w:rsidRPr="00801871">
                    <w:rPr>
                      <w:rFonts w:ascii="HelveticaNeue" w:hAnsi="HelveticaNeue" w:cs="HelveticaNeue"/>
                      <w:color w:val="000000"/>
                    </w:rPr>
                    <w:t>Según los mejores datos disponibles, alrededor de un 70% de quienes viven con</w:t>
                  </w:r>
                </w:p>
                <w:p w:rsidR="00801871" w:rsidRPr="00801871" w:rsidRDefault="00801871" w:rsidP="00801871">
                  <w:pPr>
                    <w:pStyle w:val="Prrafodelista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HelveticaNeue" w:hAnsi="HelveticaNeue" w:cs="HelveticaNeue"/>
                      <w:color w:val="000000"/>
                    </w:rPr>
                  </w:pPr>
                  <w:proofErr w:type="gramStart"/>
                  <w:r w:rsidRPr="00801871">
                    <w:rPr>
                      <w:rFonts w:ascii="HelveticaNeue" w:hAnsi="HelveticaNeue" w:cs="HelveticaNeue"/>
                      <w:color w:val="000000"/>
                    </w:rPr>
                    <w:t>menos</w:t>
                  </w:r>
                  <w:proofErr w:type="gramEnd"/>
                  <w:r w:rsidRPr="00801871">
                    <w:rPr>
                      <w:rFonts w:ascii="HelveticaNeue" w:hAnsi="HelveticaNeue" w:cs="HelveticaNeue"/>
                      <w:color w:val="000000"/>
                    </w:rPr>
                    <w:t xml:space="preserve"> de un dólar diario son mujeres.</w:t>
                  </w:r>
                </w:p>
                <w:p w:rsidR="00801871" w:rsidRPr="00801871" w:rsidRDefault="00801871" w:rsidP="00801871">
                  <w:pPr>
                    <w:pStyle w:val="Prrafodelist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HelveticaNeue" w:hAnsi="HelveticaNeue" w:cs="HelveticaNeue"/>
                      <w:color w:val="000000"/>
                    </w:rPr>
                  </w:pPr>
                  <w:r w:rsidRPr="00801871">
                    <w:rPr>
                      <w:rFonts w:ascii="HelveticaNeue" w:hAnsi="HelveticaNeue" w:cs="HelveticaNeue"/>
                      <w:color w:val="000000"/>
                    </w:rPr>
                    <w:t>El trabajo de las mujeres equivale a dos terceras partes de las horas laborales del</w:t>
                  </w:r>
                </w:p>
                <w:p w:rsidR="00801871" w:rsidRPr="00801871" w:rsidRDefault="00801871" w:rsidP="00801871">
                  <w:pPr>
                    <w:pStyle w:val="Prrafodelista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HelveticaNeue" w:hAnsi="HelveticaNeue" w:cs="HelveticaNeue"/>
                      <w:color w:val="000000"/>
                    </w:rPr>
                  </w:pPr>
                  <w:proofErr w:type="gramStart"/>
                  <w:r w:rsidRPr="00801871">
                    <w:rPr>
                      <w:rFonts w:ascii="HelveticaNeue" w:hAnsi="HelveticaNeue" w:cs="HelveticaNeue"/>
                      <w:color w:val="000000"/>
                    </w:rPr>
                    <w:t>mundo</w:t>
                  </w:r>
                  <w:proofErr w:type="gramEnd"/>
                  <w:r w:rsidRPr="00801871">
                    <w:rPr>
                      <w:rFonts w:ascii="HelveticaNeue" w:hAnsi="HelveticaNeue" w:cs="HelveticaNeue"/>
                      <w:color w:val="000000"/>
                    </w:rPr>
                    <w:t>, pero reciben solo el 10% de los ingresos del mundo.</w:t>
                  </w:r>
                </w:p>
                <w:p w:rsidR="00801871" w:rsidRPr="00801871" w:rsidRDefault="00801871" w:rsidP="00801871">
                  <w:pPr>
                    <w:pStyle w:val="Prrafodelist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HelveticaNeue" w:hAnsi="HelveticaNeue" w:cs="HelveticaNeue"/>
                      <w:color w:val="000000"/>
                    </w:rPr>
                  </w:pPr>
                  <w:r w:rsidRPr="00801871">
                    <w:rPr>
                      <w:rFonts w:ascii="HelveticaNeue" w:hAnsi="HelveticaNeue" w:cs="HelveticaNeue"/>
                      <w:color w:val="000000"/>
                    </w:rPr>
                    <w:t>Las mujeres son dueñas de solo el 1% de las propiedades del mundo.</w:t>
                  </w:r>
                </w:p>
                <w:p w:rsidR="00801871" w:rsidRPr="00801871" w:rsidRDefault="00801871" w:rsidP="00801871">
                  <w:pPr>
                    <w:pStyle w:val="Prrafodelist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HelveticaNeue" w:hAnsi="HelveticaNeue" w:cs="HelveticaNeue"/>
                      <w:color w:val="000000"/>
                    </w:rPr>
                  </w:pPr>
                  <w:r w:rsidRPr="00801871">
                    <w:rPr>
                      <w:rFonts w:ascii="HelveticaNeue" w:hAnsi="HelveticaNeue" w:cs="HelveticaNeue"/>
                      <w:color w:val="000000"/>
                    </w:rPr>
                    <w:t>Las mujeres miembros de asambleas parlamentarias en todo el mundo representan</w:t>
                  </w:r>
                  <w:r>
                    <w:rPr>
                      <w:rFonts w:ascii="HelveticaNeue" w:hAnsi="HelveticaNeue" w:cs="HelveticaNeue"/>
                      <w:color w:val="000000"/>
                    </w:rPr>
                    <w:t xml:space="preserve"> </w:t>
                  </w:r>
                  <w:r w:rsidRPr="00801871">
                    <w:rPr>
                      <w:rFonts w:ascii="HelveticaNeue" w:hAnsi="HelveticaNeue" w:cs="HelveticaNeue"/>
                      <w:color w:val="000000"/>
                    </w:rPr>
                    <w:t>solo el 17% de todos los curules.</w:t>
                  </w:r>
                </w:p>
                <w:p w:rsidR="00801871" w:rsidRPr="00801871" w:rsidRDefault="00801871" w:rsidP="00801871">
                  <w:pPr>
                    <w:pStyle w:val="Prrafodelist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HelveticaNeue" w:hAnsi="HelveticaNeue" w:cs="HelveticaNeue"/>
                      <w:color w:val="000000"/>
                    </w:rPr>
                  </w:pPr>
                  <w:r w:rsidRPr="00801871">
                    <w:rPr>
                      <w:rFonts w:ascii="HelveticaNeue" w:hAnsi="HelveticaNeue" w:cs="HelveticaNeue"/>
                      <w:color w:val="000000"/>
                    </w:rPr>
                    <w:t>Solo el 8% de los ministros de gabinete son mujeres.</w:t>
                  </w:r>
                </w:p>
                <w:p w:rsidR="00801871" w:rsidRPr="00801871" w:rsidRDefault="00801871" w:rsidP="00801871">
                  <w:pPr>
                    <w:pStyle w:val="Prrafodelist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HelveticaNeue" w:hAnsi="HelveticaNeue" w:cs="HelveticaNeue"/>
                      <w:color w:val="000000"/>
                    </w:rPr>
                  </w:pPr>
                  <w:r w:rsidRPr="00801871">
                    <w:rPr>
                      <w:rFonts w:ascii="HelveticaNeue" w:hAnsi="HelveticaNeue" w:cs="HelveticaNeue"/>
                      <w:color w:val="000000"/>
                    </w:rPr>
                    <w:t>El setenta y cinco por ciento de los 876 millones de adultos analfabetos son</w:t>
                  </w:r>
                </w:p>
                <w:p w:rsidR="00801871" w:rsidRPr="00801871" w:rsidRDefault="00801871" w:rsidP="00801871">
                  <w:pPr>
                    <w:pStyle w:val="Prrafodelista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HelveticaNeue" w:hAnsi="HelveticaNeue" w:cs="HelveticaNeue"/>
                      <w:color w:val="000000"/>
                    </w:rPr>
                  </w:pPr>
                  <w:proofErr w:type="gramStart"/>
                  <w:r w:rsidRPr="00801871">
                    <w:rPr>
                      <w:rFonts w:ascii="HelveticaNeue" w:hAnsi="HelveticaNeue" w:cs="HelveticaNeue"/>
                      <w:color w:val="000000"/>
                    </w:rPr>
                    <w:t>mujeres</w:t>
                  </w:r>
                  <w:proofErr w:type="gramEnd"/>
                  <w:r w:rsidRPr="00801871">
                    <w:rPr>
                      <w:rFonts w:ascii="HelveticaNeue" w:hAnsi="HelveticaNeue" w:cs="HelveticaNeue"/>
                      <w:color w:val="000000"/>
                    </w:rPr>
                    <w:t>.</w:t>
                  </w:r>
                </w:p>
                <w:p w:rsidR="00801871" w:rsidRPr="00801871" w:rsidRDefault="00801871" w:rsidP="00801871">
                  <w:pPr>
                    <w:pStyle w:val="Prrafodelist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HelveticaNeue" w:hAnsi="HelveticaNeue" w:cs="HelveticaNeue"/>
                      <w:color w:val="000000"/>
                    </w:rPr>
                  </w:pPr>
                  <w:r w:rsidRPr="00801871">
                    <w:rPr>
                      <w:rFonts w:ascii="HelveticaNeue" w:hAnsi="HelveticaNeue" w:cs="HelveticaNeue"/>
                      <w:color w:val="000000"/>
                    </w:rPr>
                    <w:t>En todo el mundo, las mujeres reciben el 78% de los salarios que reciben los hombres</w:t>
                  </w:r>
                  <w:r>
                    <w:rPr>
                      <w:rFonts w:ascii="HelveticaNeue" w:hAnsi="HelveticaNeue" w:cs="HelveticaNeue"/>
                      <w:color w:val="000000"/>
                    </w:rPr>
                    <w:t xml:space="preserve"> </w:t>
                  </w:r>
                  <w:r w:rsidRPr="00801871">
                    <w:rPr>
                      <w:rFonts w:ascii="HelveticaNeue" w:hAnsi="HelveticaNeue" w:cs="HelveticaNeue"/>
                      <w:color w:val="000000"/>
                    </w:rPr>
                    <w:t>por el mismo trabajo, aunque en algunas regiones ellas tienen una preparación</w:t>
                  </w:r>
                  <w:r>
                    <w:rPr>
                      <w:rFonts w:ascii="HelveticaNeue" w:hAnsi="HelveticaNeue" w:cs="HelveticaNeue"/>
                      <w:color w:val="000000"/>
                    </w:rPr>
                    <w:t xml:space="preserve"> </w:t>
                  </w:r>
                  <w:r w:rsidRPr="00801871">
                    <w:rPr>
                      <w:rFonts w:ascii="HelveticaNeue" w:hAnsi="HelveticaNeue" w:cs="HelveticaNeue"/>
                      <w:color w:val="000000"/>
                    </w:rPr>
                    <w:t>académica mayor. En algunas partes del mundo, la brecha salarial entre mujeres y</w:t>
                  </w:r>
                  <w:r>
                    <w:rPr>
                      <w:rFonts w:ascii="HelveticaNeue" w:hAnsi="HelveticaNeue" w:cs="HelveticaNeue"/>
                      <w:color w:val="000000"/>
                    </w:rPr>
                    <w:t xml:space="preserve"> </w:t>
                  </w:r>
                  <w:r w:rsidRPr="00801871">
                    <w:rPr>
                      <w:rFonts w:ascii="HelveticaNeue" w:hAnsi="HelveticaNeue" w:cs="HelveticaNeue"/>
                      <w:color w:val="000000"/>
                    </w:rPr>
                    <w:t>hombres se acerca al 40%.</w:t>
                  </w:r>
                </w:p>
                <w:p w:rsidR="00801871" w:rsidRPr="00801871" w:rsidRDefault="00801871" w:rsidP="00801871">
                  <w:pPr>
                    <w:pStyle w:val="Prrafodelist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HelveticaNeue" w:hAnsi="HelveticaNeue" w:cs="HelveticaNeue"/>
                      <w:color w:val="000000"/>
                    </w:rPr>
                  </w:pPr>
                  <w:r w:rsidRPr="00801871">
                    <w:rPr>
                      <w:rFonts w:ascii="HelveticaNeue" w:hAnsi="HelveticaNeue" w:cs="HelveticaNeue"/>
                      <w:color w:val="000000"/>
                    </w:rPr>
                    <w:t>De los 500 millones de obreros con salarios bajos en el mundo, 330 millones o el 60%</w:t>
                  </w:r>
                  <w:r>
                    <w:rPr>
                      <w:rFonts w:ascii="HelveticaNeue" w:hAnsi="HelveticaNeue" w:cs="HelveticaNeue"/>
                      <w:color w:val="000000"/>
                    </w:rPr>
                    <w:t xml:space="preserve"> </w:t>
                  </w:r>
                  <w:r w:rsidRPr="00801871">
                    <w:rPr>
                      <w:rFonts w:ascii="HelveticaNeue" w:hAnsi="HelveticaNeue" w:cs="HelveticaNeue"/>
                      <w:color w:val="000000"/>
                    </w:rPr>
                    <w:t>son mujeres.</w:t>
                  </w:r>
                </w:p>
                <w:p w:rsidR="00801871" w:rsidRPr="00801871" w:rsidRDefault="00801871" w:rsidP="00801871">
                  <w:pPr>
                    <w:pStyle w:val="Prrafodelist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HelveticaNeue" w:hAnsi="HelveticaNeue" w:cs="HelveticaNeue"/>
                      <w:color w:val="000000"/>
                    </w:rPr>
                  </w:pPr>
                  <w:r w:rsidRPr="00801871">
                    <w:rPr>
                      <w:rFonts w:ascii="HelveticaNeue" w:hAnsi="HelveticaNeue" w:cs="HelveticaNeue"/>
                      <w:color w:val="000000"/>
                    </w:rPr>
                    <w:t>En una muestra de 141 países entre los años 1981 y 2002, se encontró que los</w:t>
                  </w:r>
                </w:p>
                <w:p w:rsidR="00801871" w:rsidRPr="00801871" w:rsidRDefault="00801871" w:rsidP="00801871">
                  <w:pPr>
                    <w:pStyle w:val="Prrafodelista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HelveticaNeue" w:hAnsi="HelveticaNeue" w:cs="HelveticaNeue"/>
                      <w:color w:val="000000"/>
                    </w:rPr>
                  </w:pPr>
                  <w:proofErr w:type="gramStart"/>
                  <w:r w:rsidRPr="00801871">
                    <w:rPr>
                      <w:rFonts w:ascii="HelveticaNeue" w:hAnsi="HelveticaNeue" w:cs="HelveticaNeue"/>
                      <w:color w:val="000000"/>
                    </w:rPr>
                    <w:t>desastres</w:t>
                  </w:r>
                  <w:proofErr w:type="gramEnd"/>
                  <w:r w:rsidRPr="00801871">
                    <w:rPr>
                      <w:rFonts w:ascii="HelveticaNeue" w:hAnsi="HelveticaNeue" w:cs="HelveticaNeue"/>
                      <w:color w:val="000000"/>
                    </w:rPr>
                    <w:t xml:space="preserve"> naturales (y su impacto subsiguiente) en promedio matan a más mujeres</w:t>
                  </w:r>
                </w:p>
                <w:p w:rsidR="00801871" w:rsidRDefault="00801871" w:rsidP="00801871">
                  <w:pPr>
                    <w:pStyle w:val="Prrafodelista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HelveticaNeue" w:hAnsi="HelveticaNeue" w:cs="HelveticaNeue"/>
                      <w:color w:val="000000"/>
                    </w:rPr>
                  </w:pPr>
                  <w:proofErr w:type="gramStart"/>
                  <w:r w:rsidRPr="00801871">
                    <w:rPr>
                      <w:rFonts w:ascii="HelveticaNeue" w:hAnsi="HelveticaNeue" w:cs="HelveticaNeue"/>
                      <w:color w:val="000000"/>
                    </w:rPr>
                    <w:t>que</w:t>
                  </w:r>
                  <w:proofErr w:type="gramEnd"/>
                  <w:r w:rsidRPr="00801871">
                    <w:rPr>
                      <w:rFonts w:ascii="HelveticaNeue" w:hAnsi="HelveticaNeue" w:cs="HelveticaNeue"/>
                      <w:color w:val="000000"/>
                    </w:rPr>
                    <w:t xml:space="preserve"> hombres o matan a mujeres a una edad más temprana que los hombres.</w:t>
                  </w:r>
                </w:p>
                <w:p w:rsidR="00801871" w:rsidRPr="00801871" w:rsidRDefault="00801871" w:rsidP="00801871">
                  <w:pPr>
                    <w:pStyle w:val="Prrafodelista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HelveticaNeue" w:hAnsi="HelveticaNeue" w:cs="HelveticaNeue"/>
                      <w:color w:val="000000"/>
                    </w:rPr>
                  </w:pPr>
                </w:p>
                <w:p w:rsidR="00801871" w:rsidRPr="00801871" w:rsidRDefault="00801871" w:rsidP="0080187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HelveticaNeue" w:hAnsi="HelveticaNeue" w:cs="HelveticaNeue"/>
                      <w:color w:val="000000"/>
                      <w:sz w:val="18"/>
                      <w:szCs w:val="18"/>
                    </w:rPr>
                  </w:pPr>
                  <w:r w:rsidRPr="00801871">
                    <w:rPr>
                      <w:rFonts w:ascii="HelveticaNeue-Italic" w:hAnsi="HelveticaNeue-Italic" w:cs="HelveticaNeue-Italic"/>
                      <w:i/>
                      <w:iCs/>
                      <w:color w:val="000000"/>
                      <w:sz w:val="18"/>
                      <w:szCs w:val="18"/>
                    </w:rPr>
                    <w:t xml:space="preserve">Fuentes: </w:t>
                  </w:r>
                  <w:r w:rsidRPr="00801871">
                    <w:rPr>
                      <w:rFonts w:ascii="HelveticaNeue" w:hAnsi="HelveticaNeue" w:cs="HelveticaNeue"/>
                      <w:color w:val="000000"/>
                      <w:sz w:val="18"/>
                      <w:szCs w:val="18"/>
                    </w:rPr>
                    <w:t xml:space="preserve">Social </w:t>
                  </w:r>
                  <w:proofErr w:type="spellStart"/>
                  <w:r w:rsidRPr="00801871">
                    <w:rPr>
                      <w:rFonts w:ascii="HelveticaNeue" w:hAnsi="HelveticaNeue" w:cs="HelveticaNeue"/>
                      <w:color w:val="000000"/>
                      <w:sz w:val="18"/>
                      <w:szCs w:val="18"/>
                    </w:rPr>
                    <w:t>Watch</w:t>
                  </w:r>
                  <w:proofErr w:type="spellEnd"/>
                  <w:r w:rsidRPr="00801871">
                    <w:rPr>
                      <w:rFonts w:ascii="HelveticaNeue" w:hAnsi="HelveticaNeue" w:cs="HelveticaNeue"/>
                      <w:color w:val="000000"/>
                      <w:sz w:val="18"/>
                      <w:szCs w:val="18"/>
                    </w:rPr>
                    <w:t xml:space="preserve">, 2007 y 2008; </w:t>
                  </w:r>
                  <w:proofErr w:type="spellStart"/>
                  <w:r w:rsidRPr="00801871">
                    <w:rPr>
                      <w:rFonts w:ascii="HelveticaNeue" w:hAnsi="HelveticaNeue" w:cs="HelveticaNeue"/>
                      <w:color w:val="000000"/>
                      <w:sz w:val="18"/>
                      <w:szCs w:val="18"/>
                    </w:rPr>
                    <w:t>Oxfam</w:t>
                  </w:r>
                  <w:proofErr w:type="spellEnd"/>
                  <w:r w:rsidRPr="00801871">
                    <w:rPr>
                      <w:rFonts w:ascii="HelveticaNeue" w:hAnsi="HelveticaNeue" w:cs="HelveticaNeue"/>
                      <w:color w:val="000000"/>
                      <w:sz w:val="18"/>
                      <w:szCs w:val="18"/>
                    </w:rPr>
                    <w:t xml:space="preserve">, 2007; </w:t>
                  </w:r>
                  <w:proofErr w:type="spellStart"/>
                  <w:r w:rsidRPr="00801871">
                    <w:rPr>
                      <w:rFonts w:ascii="HelveticaNeue" w:hAnsi="HelveticaNeue" w:cs="HelveticaNeue"/>
                      <w:color w:val="000000"/>
                      <w:sz w:val="18"/>
                      <w:szCs w:val="18"/>
                    </w:rPr>
                    <w:t>Neumayer</w:t>
                  </w:r>
                  <w:proofErr w:type="spellEnd"/>
                  <w:r w:rsidRPr="00801871">
                    <w:rPr>
                      <w:rFonts w:ascii="HelveticaNeue" w:hAnsi="HelveticaNeue" w:cs="HelveticaNeue"/>
                      <w:color w:val="000000"/>
                      <w:sz w:val="18"/>
                      <w:szCs w:val="18"/>
                    </w:rPr>
                    <w:t xml:space="preserve"> y </w:t>
                  </w:r>
                  <w:proofErr w:type="spellStart"/>
                  <w:r w:rsidRPr="00801871">
                    <w:rPr>
                      <w:rFonts w:ascii="HelveticaNeue" w:hAnsi="HelveticaNeue" w:cs="HelveticaNeue"/>
                      <w:color w:val="000000"/>
                      <w:sz w:val="18"/>
                      <w:szCs w:val="18"/>
                    </w:rPr>
                    <w:t>Plümper</w:t>
                  </w:r>
                  <w:proofErr w:type="spellEnd"/>
                  <w:r w:rsidRPr="00801871">
                    <w:rPr>
                      <w:rFonts w:ascii="HelveticaNeue" w:hAnsi="HelveticaNeue" w:cs="HelveticaNeue"/>
                      <w:color w:val="000000"/>
                      <w:sz w:val="18"/>
                      <w:szCs w:val="18"/>
                    </w:rPr>
                    <w:t>, 2007; y OIT, 2008.</w:t>
                  </w:r>
                </w:p>
                <w:p w:rsidR="00801871" w:rsidRDefault="00801871" w:rsidP="00801871">
                  <w:pPr>
                    <w:pStyle w:val="Prrafodelista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enturyGothic" w:hAnsi="CenturyGothic" w:cs="CenturyGothic"/>
                      <w:color w:val="000000"/>
                    </w:rPr>
                  </w:pPr>
                </w:p>
                <w:p w:rsidR="00801871" w:rsidRPr="00801871" w:rsidRDefault="00801871" w:rsidP="00801871">
                  <w:pPr>
                    <w:pStyle w:val="Prrafodelista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enturyGothic" w:hAnsi="CenturyGothic" w:cs="CenturyGothic"/>
                      <w:i/>
                      <w:color w:val="000000"/>
                    </w:rPr>
                  </w:pPr>
                  <w:r w:rsidRPr="00801871">
                    <w:rPr>
                      <w:rFonts w:ascii="CenturyGothic" w:hAnsi="CenturyGothic" w:cs="CenturyGothic"/>
                      <w:i/>
                      <w:color w:val="000000"/>
                    </w:rPr>
                    <w:t>Superar estas desigualdades es uno de los principales objetivos de</w:t>
                  </w:r>
                </w:p>
                <w:p w:rsidR="00801871" w:rsidRPr="00801871" w:rsidRDefault="00801871" w:rsidP="00801871">
                  <w:pPr>
                    <w:pStyle w:val="Prrafodelista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enturyGothic" w:hAnsi="CenturyGothic" w:cs="CenturyGothic"/>
                      <w:i/>
                      <w:color w:val="000000"/>
                    </w:rPr>
                  </w:pPr>
                  <w:proofErr w:type="gramStart"/>
                  <w:r w:rsidRPr="00801871">
                    <w:rPr>
                      <w:rFonts w:ascii="CenturyGothic" w:hAnsi="CenturyGothic" w:cs="CenturyGothic"/>
                      <w:i/>
                      <w:color w:val="000000"/>
                    </w:rPr>
                    <w:t>la</w:t>
                  </w:r>
                  <w:proofErr w:type="gramEnd"/>
                  <w:r w:rsidRPr="00801871">
                    <w:rPr>
                      <w:rFonts w:ascii="CenturyGothic" w:hAnsi="CenturyGothic" w:cs="CenturyGothic"/>
                      <w:i/>
                      <w:color w:val="000000"/>
                    </w:rPr>
                    <w:t xml:space="preserve"> comunidad internacional. En la medida en que los diagnósticos de género</w:t>
                  </w:r>
                </w:p>
                <w:p w:rsidR="00801871" w:rsidRPr="00801871" w:rsidRDefault="00801871" w:rsidP="00801871">
                  <w:pPr>
                    <w:pStyle w:val="Prrafodelista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enturyGothic" w:hAnsi="CenturyGothic" w:cs="CenturyGothic"/>
                      <w:i/>
                      <w:color w:val="000000"/>
                    </w:rPr>
                  </w:pPr>
                  <w:proofErr w:type="gramStart"/>
                  <w:r w:rsidRPr="00801871">
                    <w:rPr>
                      <w:rFonts w:ascii="CenturyGothic" w:hAnsi="CenturyGothic" w:cs="CenturyGothic"/>
                      <w:i/>
                      <w:color w:val="000000"/>
                    </w:rPr>
                    <w:t>destaquen</w:t>
                  </w:r>
                  <w:proofErr w:type="gramEnd"/>
                  <w:r w:rsidRPr="00801871">
                    <w:rPr>
                      <w:rFonts w:ascii="CenturyGothic" w:hAnsi="CenturyGothic" w:cs="CenturyGothic"/>
                      <w:i/>
                      <w:color w:val="000000"/>
                    </w:rPr>
                    <w:t xml:space="preserve"> las desigualdades existentes y promuevan la revisión de leyes</w:t>
                  </w:r>
                </w:p>
                <w:p w:rsidR="00801871" w:rsidRPr="00801871" w:rsidRDefault="00801871" w:rsidP="00801871">
                  <w:pPr>
                    <w:jc w:val="both"/>
                    <w:rPr>
                      <w:i/>
                    </w:rPr>
                  </w:pPr>
                </w:p>
              </w:txbxContent>
            </v:textbox>
          </v:shape>
        </w:pic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HelveticaNeue-Light" w:hAnsi="HelveticaNeue-Light" w:cs="HelveticaNeue-Light"/>
          <w:color w:val="FFFFFF"/>
          <w:sz w:val="28"/>
          <w:szCs w:val="28"/>
        </w:rPr>
      </w:pPr>
      <w:r>
        <w:rPr>
          <w:rFonts w:ascii="HelveticaNeue-Bold" w:hAnsi="HelveticaNeue-Bold" w:cs="HelveticaNeue-Bold"/>
          <w:b/>
          <w:bCs/>
          <w:color w:val="FFFFFF"/>
          <w:sz w:val="28"/>
          <w:szCs w:val="28"/>
        </w:rPr>
        <w:t xml:space="preserve">Recuadro 1 </w:t>
      </w:r>
      <w:r>
        <w:rPr>
          <w:rFonts w:ascii="HelveticaNeue-Light" w:hAnsi="HelveticaNeue-Light" w:cs="HelveticaNeue-Light"/>
          <w:color w:val="FFFFFF"/>
          <w:sz w:val="28"/>
          <w:szCs w:val="28"/>
        </w:rPr>
        <w:t>Diferencias / brechas de género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FFFFFF"/>
          <w:sz w:val="24"/>
          <w:szCs w:val="24"/>
        </w:rPr>
      </w:pPr>
      <w:r>
        <w:rPr>
          <w:rFonts w:ascii="CenturyGothic" w:hAnsi="CenturyGothic" w:cs="CenturyGothic"/>
          <w:color w:val="FFFFFF"/>
          <w:sz w:val="24"/>
          <w:szCs w:val="24"/>
        </w:rPr>
        <w:t>17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HelveticaNeue" w:hAnsi="HelveticaNeue" w:cs="HelveticaNeue"/>
          <w:color w:val="FFFFFF"/>
          <w:sz w:val="26"/>
          <w:szCs w:val="26"/>
        </w:rPr>
      </w:pPr>
      <w:r>
        <w:rPr>
          <w:rFonts w:ascii="HelveticaNeue" w:hAnsi="HelveticaNeue" w:cs="HelveticaNeue"/>
          <w:color w:val="FFFFFF"/>
          <w:sz w:val="26"/>
          <w:szCs w:val="26"/>
        </w:rPr>
        <w:t>Módulo 1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HelveticaNeue-Light" w:hAnsi="HelveticaNeue-Light" w:cs="HelveticaNeue-Light"/>
          <w:color w:val="FFFFFF"/>
          <w:sz w:val="28"/>
          <w:szCs w:val="28"/>
        </w:rPr>
      </w:pPr>
      <w:r>
        <w:rPr>
          <w:rFonts w:ascii="HelveticaNeue-Bold" w:hAnsi="HelveticaNeue-Bold" w:cs="HelveticaNeue-Bold"/>
          <w:b/>
          <w:bCs/>
          <w:color w:val="FFFFFF"/>
          <w:sz w:val="28"/>
          <w:szCs w:val="28"/>
        </w:rPr>
        <w:t xml:space="preserve">Recuadro 2 </w:t>
      </w:r>
      <w:r>
        <w:rPr>
          <w:rFonts w:ascii="HelveticaNeue-Light" w:hAnsi="HelveticaNeue-Light" w:cs="HelveticaNeue-Light"/>
          <w:color w:val="FFFFFF"/>
          <w:sz w:val="28"/>
          <w:szCs w:val="28"/>
        </w:rPr>
        <w:t>Igualdad y equidad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HelveticaNeue" w:hAnsi="HelveticaNeue" w:cs="HelveticaNeue"/>
          <w:color w:val="000000"/>
          <w:sz w:val="24"/>
          <w:szCs w:val="24"/>
        </w:rPr>
      </w:pPr>
      <w:r>
        <w:rPr>
          <w:rFonts w:ascii="HelveticaNeue-Bold" w:hAnsi="HelveticaNeue-Bold" w:cs="HelveticaNeue-Bold"/>
          <w:b/>
          <w:bCs/>
          <w:color w:val="000000"/>
          <w:sz w:val="24"/>
          <w:szCs w:val="24"/>
        </w:rPr>
        <w:t xml:space="preserve">Igualdad de género </w:t>
      </w:r>
      <w:r>
        <w:rPr>
          <w:rFonts w:ascii="HelveticaNeue" w:hAnsi="HelveticaNeue" w:cs="HelveticaNeue"/>
          <w:color w:val="000000"/>
          <w:sz w:val="24"/>
          <w:szCs w:val="24"/>
        </w:rPr>
        <w:t>es el concepto de que todos los seres humanos, tanto hombres como mujeres, son libres para desarrollar sus capacidades personales y elegir sin verse limitados por estereotipos, roles rígidos de género o prejuicios. La igualdad de género supone que los diferentes comportamientos, aspiraciones y necesidades de las mujeres y los hombres se consideren, valoren y promuevan de igual manera. Ello no significa que mujeres y hombres deban convertirse en iguales, sino que sus derechos, responsabilidades y oportunidades no dependan de si han nacido hombres o mujeres.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HelveticaNeue" w:hAnsi="HelveticaNeue" w:cs="HelveticaNeue"/>
          <w:color w:val="000000"/>
          <w:sz w:val="24"/>
          <w:szCs w:val="24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HelveticaNeue" w:hAnsi="HelveticaNeue" w:cs="HelveticaNeue"/>
          <w:color w:val="000000"/>
          <w:sz w:val="24"/>
          <w:szCs w:val="24"/>
        </w:rPr>
      </w:pPr>
      <w:r>
        <w:rPr>
          <w:rFonts w:ascii="HelveticaNeue-Bold" w:hAnsi="HelveticaNeue-Bold" w:cs="HelveticaNeue-Bold"/>
          <w:b/>
          <w:bCs/>
          <w:color w:val="000000"/>
          <w:sz w:val="24"/>
          <w:szCs w:val="24"/>
        </w:rPr>
        <w:t xml:space="preserve">Equidad de género </w:t>
      </w:r>
      <w:r>
        <w:rPr>
          <w:rFonts w:ascii="HelveticaNeue" w:hAnsi="HelveticaNeue" w:cs="HelveticaNeue"/>
          <w:color w:val="000000"/>
          <w:sz w:val="24"/>
          <w:szCs w:val="24"/>
        </w:rPr>
        <w:t>significa un trato justo para mujeres y hombres, de acuerdo con sus respectivas necesidades. Esto puede incluir un trato igualitario o trato diferenciado que se ve como equivalente en términos de derechos, beneficios, obligaciones y oportunidades. En el contexto del desarrollo, un objetivo de equidad de género a menudo requiere incorporar medidas para compensar por las desventajas históricas y sociales de las mujeres.</w:t>
      </w:r>
    </w:p>
    <w:p w:rsidR="00EE7D47" w:rsidRPr="00EE7D47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HelveticaNeue" w:hAnsi="HelveticaNeue" w:cs="HelveticaNeue"/>
          <w:color w:val="000000"/>
          <w:sz w:val="24"/>
          <w:szCs w:val="24"/>
        </w:rPr>
      </w:pPr>
      <w:r>
        <w:rPr>
          <w:rFonts w:ascii="HelveticaNeue" w:hAnsi="HelveticaNeue" w:cs="HelveticaNeue"/>
          <w:color w:val="000000"/>
          <w:sz w:val="24"/>
          <w:szCs w:val="24"/>
        </w:rPr>
        <w:t>De ahí que, tanto la equidad como la igualdad de género deben procurarse en forma</w:t>
      </w:r>
      <w:r w:rsidR="00EE7D47">
        <w:rPr>
          <w:rFonts w:ascii="HelveticaNeue" w:hAnsi="HelveticaNeue" w:cs="HelveticaNeue"/>
          <w:color w:val="000000"/>
          <w:sz w:val="24"/>
          <w:szCs w:val="24"/>
        </w:rPr>
        <w:t xml:space="preserve"> </w:t>
      </w:r>
      <w:r>
        <w:rPr>
          <w:rFonts w:ascii="HelveticaNeue" w:hAnsi="HelveticaNeue" w:cs="HelveticaNeue"/>
          <w:color w:val="000000"/>
          <w:sz w:val="24"/>
          <w:szCs w:val="24"/>
        </w:rPr>
        <w:t>complementaria, donde el objetivo final sea la igualdad de género. En otras palabras,</w:t>
      </w:r>
      <w:r w:rsidR="00EE7D47">
        <w:rPr>
          <w:rFonts w:ascii="HelveticaNeue" w:hAnsi="HelveticaNeue" w:cs="HelveticaNeue"/>
          <w:color w:val="000000"/>
          <w:sz w:val="24"/>
          <w:szCs w:val="24"/>
        </w:rPr>
        <w:t xml:space="preserve"> </w:t>
      </w:r>
      <w:r>
        <w:rPr>
          <w:rFonts w:ascii="HelveticaNeue" w:hAnsi="HelveticaNeue" w:cs="HelveticaNeue"/>
          <w:color w:val="000000"/>
          <w:sz w:val="24"/>
          <w:szCs w:val="24"/>
        </w:rPr>
        <w:t xml:space="preserve">con el fin de lograr la igualdad de género, a menudo es necesario </w:t>
      </w:r>
      <w:r>
        <w:rPr>
          <w:rFonts w:ascii="HelveticaNeue" w:hAnsi="HelveticaNeue" w:cs="HelveticaNeue"/>
          <w:color w:val="000000"/>
          <w:sz w:val="24"/>
          <w:szCs w:val="24"/>
        </w:rPr>
        <w:lastRenderedPageBreak/>
        <w:t>procurar establecer</w:t>
      </w:r>
      <w:r w:rsidR="00EE7D47">
        <w:rPr>
          <w:rFonts w:ascii="HelveticaNeue" w:hAnsi="HelveticaNeue" w:cs="HelveticaNeue"/>
          <w:color w:val="000000"/>
          <w:sz w:val="24"/>
          <w:szCs w:val="24"/>
        </w:rPr>
        <w:t xml:space="preserve"> </w:t>
      </w:r>
      <w:r>
        <w:rPr>
          <w:rFonts w:ascii="HelveticaNeue" w:hAnsi="HelveticaNeue" w:cs="HelveticaNeue"/>
          <w:color w:val="000000"/>
          <w:sz w:val="24"/>
          <w:szCs w:val="24"/>
        </w:rPr>
        <w:t>medidas de equidad de género. El logro de la igualdad de género no es una meta que</w:t>
      </w:r>
      <w:r w:rsidR="00EE7D47">
        <w:rPr>
          <w:rFonts w:ascii="HelveticaNeue" w:hAnsi="HelveticaNeue" w:cs="HelveticaNeue"/>
          <w:color w:val="000000"/>
          <w:sz w:val="24"/>
          <w:szCs w:val="24"/>
        </w:rPr>
        <w:t xml:space="preserve"> </w:t>
      </w:r>
      <w:r>
        <w:rPr>
          <w:rFonts w:ascii="HelveticaNeue" w:hAnsi="HelveticaNeue" w:cs="HelveticaNeue"/>
          <w:color w:val="000000"/>
          <w:sz w:val="24"/>
          <w:szCs w:val="24"/>
        </w:rPr>
        <w:t>se logra una vez. El progreso en esta área puede erosionarse con mucha facilidad,</w:t>
      </w:r>
      <w:r w:rsidR="00EE7D47">
        <w:rPr>
          <w:rFonts w:ascii="HelveticaNeue" w:hAnsi="HelveticaNeue" w:cs="HelveticaNeue"/>
          <w:color w:val="000000"/>
          <w:sz w:val="24"/>
          <w:szCs w:val="24"/>
        </w:rPr>
        <w:t xml:space="preserve"> </w:t>
      </w:r>
      <w:r>
        <w:rPr>
          <w:rFonts w:ascii="HelveticaNeue" w:hAnsi="HelveticaNeue" w:cs="HelveticaNeue"/>
          <w:color w:val="000000"/>
          <w:sz w:val="24"/>
          <w:szCs w:val="24"/>
        </w:rPr>
        <w:t>por lo que la equidad de género debe promoverse constantemente y sustentarse de</w:t>
      </w:r>
      <w:r w:rsidR="00EE7D47">
        <w:rPr>
          <w:rFonts w:ascii="HelveticaNeue" w:hAnsi="HelveticaNeue" w:cs="HelveticaNeue"/>
          <w:color w:val="000000"/>
          <w:sz w:val="24"/>
          <w:szCs w:val="24"/>
        </w:rPr>
        <w:t xml:space="preserve"> </w:t>
      </w:r>
      <w:r>
        <w:rPr>
          <w:rFonts w:ascii="HelveticaNeue" w:hAnsi="HelveticaNeue" w:cs="HelveticaNeue"/>
          <w:color w:val="000000"/>
          <w:sz w:val="24"/>
          <w:szCs w:val="24"/>
        </w:rPr>
        <w:t xml:space="preserve">manera </w:t>
      </w:r>
      <w:proofErr w:type="spellStart"/>
      <w:r>
        <w:rPr>
          <w:rFonts w:ascii="HelveticaNeue" w:hAnsi="HelveticaNeue" w:cs="HelveticaNeue"/>
          <w:color w:val="000000"/>
          <w:sz w:val="24"/>
          <w:szCs w:val="24"/>
        </w:rPr>
        <w:t>activa.</w:t>
      </w:r>
      <w:r>
        <w:rPr>
          <w:rFonts w:ascii="CenturyGothic" w:hAnsi="CenturyGothic" w:cs="CenturyGothic"/>
          <w:color w:val="000000"/>
          <w:sz w:val="26"/>
          <w:szCs w:val="26"/>
        </w:rPr>
        <w:t>y</w:t>
      </w:r>
      <w:proofErr w:type="spellEnd"/>
      <w:r>
        <w:rPr>
          <w:rFonts w:ascii="CenturyGothic" w:hAnsi="CenturyGothic" w:cs="CenturyGothic"/>
          <w:color w:val="000000"/>
          <w:sz w:val="26"/>
          <w:szCs w:val="26"/>
        </w:rPr>
        <w:t xml:space="preserve"> políticas, y, lo que es más importante, del proceso de su desarrollo, será</w:t>
      </w:r>
      <w:r w:rsidR="00EE7D47">
        <w:rPr>
          <w:rFonts w:ascii="HelveticaNeue" w:hAnsi="HelveticaNeue" w:cs="HelveticaNeue"/>
          <w:color w:val="000000"/>
          <w:sz w:val="24"/>
          <w:szCs w:val="24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necesario conc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>entrarse en asuntos de la mujer.</w:t>
      </w:r>
    </w:p>
    <w:p w:rsidR="00EE7D47" w:rsidRDefault="00EE7D47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Pr="00EE7D47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HelveticaNeue" w:hAnsi="HelveticaNeue" w:cs="HelveticaNeue"/>
          <w:color w:val="000000"/>
          <w:sz w:val="24"/>
          <w:szCs w:val="24"/>
        </w:rPr>
      </w:pPr>
      <w:r>
        <w:rPr>
          <w:rFonts w:ascii="CenturyGothic" w:hAnsi="CenturyGothic" w:cs="CenturyGothic"/>
          <w:color w:val="000000"/>
          <w:sz w:val="26"/>
          <w:szCs w:val="26"/>
        </w:rPr>
        <w:t>Con ello, no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se trata de invertir las desigualdades sino más bien de eliminarlas, en un intento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por erradicar ineficiencias que socavan el desarrollo y dificultan la aplicación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de los derechos humanos.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Para alcanzar los objetivos mundiales sobre desarrollo sostenible y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derechos humanos se considera crucial superar las desigualdades y extender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las oportunidades para asegurar la participación plena y efectiva de todos los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sectores y partes interesadas de la sociedad en el desarrollo e implementación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de políticas y normativas. Abordar las desigualdades de género y promover la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adopción de una perspectiva de igualdad de género en el desarrollo de leyes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y políticas se advierte, por tanto, como un camino hacia la mejora del bienestar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colectivo de las sociedades y de la comunidad global. La resistencia al cambio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puede ser particularmente fuerte donde las desigualdades de género se han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consagrado como prácticas sociales y/o derecho nacional consuetudinario.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FFFFFF"/>
          <w:sz w:val="24"/>
          <w:szCs w:val="24"/>
        </w:rPr>
      </w:pPr>
      <w:r>
        <w:rPr>
          <w:rFonts w:ascii="CenturyGothic" w:hAnsi="CenturyGothic" w:cs="CenturyGothic"/>
          <w:color w:val="FFFFFF"/>
          <w:sz w:val="24"/>
          <w:szCs w:val="24"/>
        </w:rPr>
        <w:t>18</w:t>
      </w:r>
    </w:p>
    <w:p w:rsidR="00EE7D47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r>
        <w:rPr>
          <w:rFonts w:ascii="CenturyGothic" w:hAnsi="CenturyGothic" w:cs="CenturyGothic"/>
          <w:color w:val="000000"/>
          <w:sz w:val="26"/>
          <w:szCs w:val="26"/>
        </w:rPr>
        <w:t>Esta clase de resistencia se agudiza en gran proporción por el temor de que las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ganancias de las mujeres puedan significar pérdidas para los hombres, ya sea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en cuanto a poder, prestigio o beneficios.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Para lograr progresar frente a estas realidades, es importante reconocer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estos temores y enmarcar el debate en términos de eficiencia y avance, dando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margen para que los hombres entiendan que lograr la igualdad de género</w:t>
      </w:r>
      <w:r w:rsidR="009A2EFD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beneficiará no solo a las mujeres, sino también a los hombres. Para lograr la</w:t>
      </w:r>
      <w:r w:rsidR="009A2EFD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igualdad de género es necesario corregir las desigualdades relacionadas</w:t>
      </w:r>
      <w:r w:rsidR="009A2EFD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con el acceso a los recursos, y promover la equidad con el fin de rectificar las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desventajas históricas y sociales que han vivido las mujeres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>.</w:t>
      </w:r>
    </w:p>
    <w:p w:rsidR="00EE7D47" w:rsidRDefault="00EE7D47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-Bold" w:hAnsi="CenturyGothic-Bold" w:cs="CenturyGothic-Bold"/>
          <w:b/>
          <w:bCs/>
          <w:color w:val="000000"/>
          <w:sz w:val="28"/>
          <w:szCs w:val="28"/>
        </w:rPr>
      </w:pPr>
      <w:r>
        <w:rPr>
          <w:rFonts w:ascii="CenturyGothic-Bold" w:hAnsi="CenturyGothic-Bold" w:cs="CenturyGothic-Bold"/>
          <w:b/>
          <w:bCs/>
          <w:color w:val="000000"/>
          <w:sz w:val="28"/>
          <w:szCs w:val="28"/>
        </w:rPr>
        <w:t xml:space="preserve">1.2 ¿Qué es la </w:t>
      </w:r>
      <w:proofErr w:type="spellStart"/>
      <w:r>
        <w:rPr>
          <w:rFonts w:ascii="CenturyGothic-Bold" w:hAnsi="CenturyGothic-Bold" w:cs="CenturyGothic-Bold"/>
          <w:b/>
          <w:bCs/>
          <w:color w:val="000000"/>
          <w:sz w:val="28"/>
          <w:szCs w:val="28"/>
        </w:rPr>
        <w:t>transversalización</w:t>
      </w:r>
      <w:proofErr w:type="spellEnd"/>
      <w:r>
        <w:rPr>
          <w:rFonts w:ascii="CenturyGothic-Bold" w:hAnsi="CenturyGothic-Bold" w:cs="CenturyGothic-Bold"/>
          <w:b/>
          <w:bCs/>
          <w:color w:val="000000"/>
          <w:sz w:val="28"/>
          <w:szCs w:val="28"/>
        </w:rPr>
        <w:t xml:space="preserve"> del género?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r>
        <w:rPr>
          <w:rFonts w:ascii="CenturyGothic" w:hAnsi="CenturyGothic" w:cs="CenturyGothic"/>
          <w:color w:val="000000"/>
          <w:sz w:val="26"/>
          <w:szCs w:val="26"/>
        </w:rPr>
        <w:t>“</w:t>
      </w:r>
      <w:proofErr w:type="spellStart"/>
      <w:r>
        <w:rPr>
          <w:rFonts w:ascii="CenturyGothic" w:hAnsi="CenturyGothic" w:cs="CenturyGothic"/>
          <w:color w:val="000000"/>
          <w:sz w:val="26"/>
          <w:szCs w:val="26"/>
        </w:rPr>
        <w:t>Transversalizar</w:t>
      </w:r>
      <w:proofErr w:type="spellEnd"/>
      <w:r>
        <w:rPr>
          <w:rFonts w:ascii="CenturyGothic" w:hAnsi="CenturyGothic" w:cs="CenturyGothic"/>
          <w:color w:val="000000"/>
          <w:sz w:val="26"/>
          <w:szCs w:val="26"/>
        </w:rPr>
        <w:t>” es un proceso más que una meta, y consiste en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proofErr w:type="gramStart"/>
      <w:r>
        <w:rPr>
          <w:rFonts w:ascii="CenturyGothic" w:hAnsi="CenturyGothic" w:cs="CenturyGothic"/>
          <w:color w:val="000000"/>
          <w:sz w:val="26"/>
          <w:szCs w:val="26"/>
        </w:rPr>
        <w:t>incorporar</w:t>
      </w:r>
      <w:proofErr w:type="gramEnd"/>
      <w:r>
        <w:rPr>
          <w:rFonts w:ascii="CenturyGothic" w:hAnsi="CenturyGothic" w:cs="CenturyGothic"/>
          <w:color w:val="000000"/>
          <w:sz w:val="26"/>
          <w:szCs w:val="26"/>
        </w:rPr>
        <w:t xml:space="preserve"> lo que puede ser visto como marginal a los asuntos medulares y al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proceso central de toma de decisiones de una organización (UNESCO, 2003).</w:t>
      </w:r>
    </w:p>
    <w:p w:rsidR="00EE7D47" w:rsidRDefault="00EE7D47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r>
        <w:rPr>
          <w:rFonts w:ascii="CenturyGothic" w:hAnsi="CenturyGothic" w:cs="CenturyGothic"/>
          <w:color w:val="000000"/>
          <w:sz w:val="26"/>
          <w:szCs w:val="26"/>
        </w:rPr>
        <w:t xml:space="preserve">La </w:t>
      </w:r>
      <w:proofErr w:type="spellStart"/>
      <w:r>
        <w:rPr>
          <w:rFonts w:ascii="CenturyGothic" w:hAnsi="CenturyGothic" w:cs="CenturyGothic"/>
          <w:color w:val="000000"/>
          <w:sz w:val="26"/>
          <w:szCs w:val="26"/>
        </w:rPr>
        <w:t>transversalización</w:t>
      </w:r>
      <w:proofErr w:type="spellEnd"/>
      <w:r>
        <w:rPr>
          <w:rFonts w:ascii="CenturyGothic" w:hAnsi="CenturyGothic" w:cs="CenturyGothic"/>
          <w:color w:val="000000"/>
          <w:sz w:val="26"/>
          <w:szCs w:val="26"/>
        </w:rPr>
        <w:t xml:space="preserve"> del género es el proceso de evaluación de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las implicaciones que cualquier acción, política o programa planificado, en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proofErr w:type="gramStart"/>
      <w:r>
        <w:rPr>
          <w:rFonts w:ascii="CenturyGothic" w:hAnsi="CenturyGothic" w:cs="CenturyGothic"/>
          <w:color w:val="000000"/>
          <w:sz w:val="26"/>
          <w:szCs w:val="26"/>
        </w:rPr>
        <w:t>todas</w:t>
      </w:r>
      <w:proofErr w:type="gramEnd"/>
      <w:r>
        <w:rPr>
          <w:rFonts w:ascii="CenturyGothic" w:hAnsi="CenturyGothic" w:cs="CenturyGothic"/>
          <w:color w:val="000000"/>
          <w:sz w:val="26"/>
          <w:szCs w:val="26"/>
        </w:rPr>
        <w:t xml:space="preserve"> las áreas y en todos los niveles, tiene para mujeres y hombres. Es una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 xml:space="preserve">estrategia para hacer que todas las necesidades y experiencias de </w:t>
      </w:r>
      <w:r>
        <w:rPr>
          <w:rFonts w:ascii="CenturyGothic" w:hAnsi="CenturyGothic" w:cs="CenturyGothic"/>
          <w:color w:val="000000"/>
          <w:sz w:val="26"/>
          <w:szCs w:val="26"/>
        </w:rPr>
        <w:lastRenderedPageBreak/>
        <w:t>mujeres y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hombres sean una parte integral del diseño, ejecución, monitoreo y evaluación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 xml:space="preserve">de políticas, iniciativas y programas. De esta manera, la </w:t>
      </w:r>
      <w:proofErr w:type="spellStart"/>
      <w:r>
        <w:rPr>
          <w:rFonts w:ascii="CenturyGothic" w:hAnsi="CenturyGothic" w:cs="CenturyGothic"/>
          <w:color w:val="000000"/>
          <w:sz w:val="26"/>
          <w:szCs w:val="26"/>
        </w:rPr>
        <w:t>transversalización</w:t>
      </w:r>
      <w:proofErr w:type="spellEnd"/>
      <w:r>
        <w:rPr>
          <w:rFonts w:ascii="CenturyGothic" w:hAnsi="CenturyGothic" w:cs="CenturyGothic"/>
          <w:color w:val="000000"/>
          <w:sz w:val="26"/>
          <w:szCs w:val="26"/>
        </w:rPr>
        <w:t xml:space="preserve"> del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género asegura que mujeres y hombres se beneficien por igual del proceso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de desarrollo o que, por lo menos, no se perpetúe la desigualdad (ECOSOC,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1997).</w:t>
      </w:r>
    </w:p>
    <w:p w:rsidR="00EE7D47" w:rsidRDefault="00EE7D47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r>
        <w:rPr>
          <w:rFonts w:ascii="CenturyGothic" w:hAnsi="CenturyGothic" w:cs="CenturyGothic"/>
          <w:color w:val="000000"/>
          <w:sz w:val="26"/>
          <w:szCs w:val="26"/>
        </w:rPr>
        <w:t xml:space="preserve">La </w:t>
      </w:r>
      <w:proofErr w:type="spellStart"/>
      <w:r>
        <w:rPr>
          <w:rFonts w:ascii="CenturyGothic" w:hAnsi="CenturyGothic" w:cs="CenturyGothic"/>
          <w:color w:val="000000"/>
          <w:sz w:val="26"/>
          <w:szCs w:val="26"/>
        </w:rPr>
        <w:t>transversalización</w:t>
      </w:r>
      <w:proofErr w:type="spellEnd"/>
      <w:r>
        <w:rPr>
          <w:rFonts w:ascii="CenturyGothic" w:hAnsi="CenturyGothic" w:cs="CenturyGothic"/>
          <w:color w:val="000000"/>
          <w:sz w:val="26"/>
          <w:szCs w:val="26"/>
        </w:rPr>
        <w:t xml:space="preserve"> del género no es solo cuestión de justicia social y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proofErr w:type="gramStart"/>
      <w:r>
        <w:rPr>
          <w:rFonts w:ascii="CenturyGothic" w:hAnsi="CenturyGothic" w:cs="CenturyGothic"/>
          <w:color w:val="000000"/>
          <w:sz w:val="26"/>
          <w:szCs w:val="26"/>
        </w:rPr>
        <w:t>derechos</w:t>
      </w:r>
      <w:proofErr w:type="gramEnd"/>
      <w:r>
        <w:rPr>
          <w:rFonts w:ascii="CenturyGothic" w:hAnsi="CenturyGothic" w:cs="CenturyGothic"/>
          <w:color w:val="000000"/>
          <w:sz w:val="26"/>
          <w:szCs w:val="26"/>
        </w:rPr>
        <w:t xml:space="preserve"> humanos, sino que es necesaria para asegurar un desarrollo humano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equitativo y sostenible con los medios más efectivos y eficientes. El enfoque</w:t>
      </w:r>
      <w:r w:rsidR="00056AFE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 xml:space="preserve">de </w:t>
      </w:r>
      <w:proofErr w:type="spellStart"/>
      <w:r>
        <w:rPr>
          <w:rFonts w:ascii="CenturyGothic" w:hAnsi="CenturyGothic" w:cs="CenturyGothic"/>
          <w:color w:val="000000"/>
          <w:sz w:val="26"/>
          <w:szCs w:val="26"/>
        </w:rPr>
        <w:t>transversalización</w:t>
      </w:r>
      <w:proofErr w:type="spellEnd"/>
      <w:r>
        <w:rPr>
          <w:rFonts w:ascii="CenturyGothic" w:hAnsi="CenturyGothic" w:cs="CenturyGothic"/>
          <w:color w:val="000000"/>
          <w:sz w:val="26"/>
          <w:szCs w:val="26"/>
        </w:rPr>
        <w:t xml:space="preserve"> del género no considera a las mujeres en forma aislada,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sino que más bien evalúa la situación de mujeres y hombres, como actores y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beneficiarios en el proceso de desarrollo (ECOSOC, 1997).</w:t>
      </w:r>
    </w:p>
    <w:p w:rsidR="00EE7D47" w:rsidRDefault="00EE7D47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r>
        <w:rPr>
          <w:rFonts w:ascii="CenturyGothic" w:hAnsi="CenturyGothic" w:cs="CenturyGothic"/>
          <w:color w:val="000000"/>
          <w:sz w:val="26"/>
          <w:szCs w:val="26"/>
        </w:rPr>
        <w:t>Más que incrementar la participación de las mujeres a estrategias y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proofErr w:type="gramStart"/>
      <w:r>
        <w:rPr>
          <w:rFonts w:ascii="CenturyGothic" w:hAnsi="CenturyGothic" w:cs="CenturyGothic"/>
          <w:color w:val="000000"/>
          <w:sz w:val="26"/>
          <w:szCs w:val="26"/>
        </w:rPr>
        <w:t>programas</w:t>
      </w:r>
      <w:proofErr w:type="gramEnd"/>
      <w:r>
        <w:rPr>
          <w:rFonts w:ascii="CenturyGothic" w:hAnsi="CenturyGothic" w:cs="CenturyGothic"/>
          <w:color w:val="000000"/>
          <w:sz w:val="26"/>
          <w:szCs w:val="26"/>
        </w:rPr>
        <w:t xml:space="preserve"> existentes, la </w:t>
      </w:r>
      <w:proofErr w:type="spellStart"/>
      <w:r>
        <w:rPr>
          <w:rFonts w:ascii="CenturyGothic" w:hAnsi="CenturyGothic" w:cs="CenturyGothic"/>
          <w:color w:val="000000"/>
          <w:sz w:val="26"/>
          <w:szCs w:val="26"/>
        </w:rPr>
        <w:t>transversalización</w:t>
      </w:r>
      <w:proofErr w:type="spellEnd"/>
      <w:r>
        <w:rPr>
          <w:rFonts w:ascii="CenturyGothic" w:hAnsi="CenturyGothic" w:cs="CenturyGothic"/>
          <w:color w:val="000000"/>
          <w:sz w:val="26"/>
          <w:szCs w:val="26"/>
        </w:rPr>
        <w:t xml:space="preserve"> del género pretende transformar</w:t>
      </w:r>
    </w:p>
    <w:p w:rsidR="00801871" w:rsidRPr="00EE7D47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proofErr w:type="gramStart"/>
      <w:r>
        <w:rPr>
          <w:rFonts w:ascii="CenturyGothic" w:hAnsi="CenturyGothic" w:cs="CenturyGothic"/>
          <w:color w:val="000000"/>
          <w:sz w:val="26"/>
          <w:szCs w:val="26"/>
        </w:rPr>
        <w:t>estructuras</w:t>
      </w:r>
      <w:proofErr w:type="gramEnd"/>
      <w:r>
        <w:rPr>
          <w:rFonts w:ascii="CenturyGothic" w:hAnsi="CenturyGothic" w:cs="CenturyGothic"/>
          <w:color w:val="000000"/>
          <w:sz w:val="26"/>
          <w:szCs w:val="26"/>
        </w:rPr>
        <w:t xml:space="preserve"> institucionales y sociales desiguales, con el fin de hacerlas sensibles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 xml:space="preserve">al género. La </w:t>
      </w:r>
      <w:proofErr w:type="spellStart"/>
      <w:r>
        <w:rPr>
          <w:rFonts w:ascii="CenturyGothic" w:hAnsi="CenturyGothic" w:cs="CenturyGothic"/>
          <w:color w:val="000000"/>
          <w:sz w:val="26"/>
          <w:szCs w:val="26"/>
        </w:rPr>
        <w:t>transversalización</w:t>
      </w:r>
      <w:proofErr w:type="spellEnd"/>
      <w:r>
        <w:rPr>
          <w:rFonts w:ascii="CenturyGothic" w:hAnsi="CenturyGothic" w:cs="CenturyGothic"/>
          <w:color w:val="000000"/>
          <w:sz w:val="26"/>
          <w:szCs w:val="26"/>
        </w:rPr>
        <w:t xml:space="preserve"> del género, por tanto, difiere del enfoque de</w:t>
      </w:r>
      <w:r w:rsidR="00056AFE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“mujeres en el desarrollo”, por cuanto su punto de partida es un análisis meticuloso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 xml:space="preserve">y riguroso de la situación del desarrollo, 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>más</w:t>
      </w:r>
      <w:r>
        <w:rPr>
          <w:rFonts w:ascii="CenturyGothic" w:hAnsi="CenturyGothic" w:cs="CenturyGothic"/>
          <w:color w:val="000000"/>
          <w:sz w:val="26"/>
          <w:szCs w:val="26"/>
        </w:rPr>
        <w:t xml:space="preserve"> que supuestos a priori acerca de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los roles y problemas de la mujer. La experiencia ha demostrado que los temas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de género varían dependiendo del país, región y circunstancias contextuales.</w:t>
      </w:r>
    </w:p>
    <w:p w:rsidR="00EE7D47" w:rsidRDefault="00EE7D47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r>
        <w:rPr>
          <w:rFonts w:ascii="CenturyGothic" w:hAnsi="CenturyGothic" w:cs="CenturyGothic"/>
          <w:color w:val="000000"/>
          <w:sz w:val="26"/>
          <w:szCs w:val="26"/>
        </w:rPr>
        <w:t>A la vez, la experiencia ha demostrado que un diagnóstico de género riguroso,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i</w:t>
      </w:r>
      <w:r>
        <w:rPr>
          <w:rFonts w:ascii="CenturyGothic" w:hAnsi="CenturyGothic" w:cs="CenturyGothic"/>
          <w:color w:val="000000"/>
          <w:sz w:val="26"/>
          <w:szCs w:val="26"/>
        </w:rPr>
        <w:t>nvariablemente revelará necesidades y prioridades diferentes según el género,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así como desigualdades de género en cuanto a oportunidades y resultados. La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proofErr w:type="spellStart"/>
      <w:r>
        <w:rPr>
          <w:rFonts w:ascii="CenturyGothic" w:hAnsi="CenturyGothic" w:cs="CenturyGothic"/>
          <w:color w:val="000000"/>
          <w:sz w:val="26"/>
          <w:szCs w:val="26"/>
        </w:rPr>
        <w:t>transversalización</w:t>
      </w:r>
      <w:proofErr w:type="spellEnd"/>
      <w:r>
        <w:rPr>
          <w:rFonts w:ascii="CenturyGothic" w:hAnsi="CenturyGothic" w:cs="CenturyGothic"/>
          <w:color w:val="000000"/>
          <w:sz w:val="26"/>
          <w:szCs w:val="26"/>
        </w:rPr>
        <w:t xml:space="preserve"> del género procura corregir estos problemas (Aguilar </w:t>
      </w:r>
      <w:r>
        <w:rPr>
          <w:rFonts w:ascii="CenturyGothic-Italic" w:hAnsi="CenturyGothic-Italic" w:cs="CenturyGothic-Italic"/>
          <w:i/>
          <w:iCs/>
          <w:color w:val="000000"/>
          <w:sz w:val="26"/>
          <w:szCs w:val="26"/>
        </w:rPr>
        <w:t>et al</w:t>
      </w:r>
      <w:r>
        <w:rPr>
          <w:rFonts w:ascii="CenturyGothic" w:hAnsi="CenturyGothic" w:cs="CenturyGothic"/>
          <w:color w:val="000000"/>
          <w:sz w:val="26"/>
          <w:szCs w:val="26"/>
        </w:rPr>
        <w:t>.</w:t>
      </w:r>
      <w:proofErr w:type="gramStart"/>
      <w:r>
        <w:rPr>
          <w:rFonts w:ascii="CenturyGothic" w:hAnsi="CenturyGothic" w:cs="CenturyGothic"/>
          <w:color w:val="000000"/>
          <w:sz w:val="26"/>
          <w:szCs w:val="26"/>
        </w:rPr>
        <w:t>,2007</w:t>
      </w:r>
      <w:proofErr w:type="gramEnd"/>
      <w:r>
        <w:rPr>
          <w:rFonts w:ascii="CenturyGothic" w:hAnsi="CenturyGothic" w:cs="CenturyGothic"/>
          <w:color w:val="000000"/>
          <w:sz w:val="26"/>
          <w:szCs w:val="26"/>
        </w:rPr>
        <w:t>).</w:t>
      </w:r>
    </w:p>
    <w:p w:rsidR="00EE7D47" w:rsidRDefault="00EE7D47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r>
        <w:rPr>
          <w:rFonts w:ascii="CenturyGothic" w:hAnsi="CenturyGothic" w:cs="CenturyGothic"/>
          <w:color w:val="000000"/>
          <w:sz w:val="26"/>
          <w:szCs w:val="26"/>
        </w:rPr>
        <w:t>La utilización de una perspectiva de igualdad de género requiere el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análisis y comprensión de los diferentes roles y responsabilidades, necesidades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proofErr w:type="gramStart"/>
      <w:r>
        <w:rPr>
          <w:rFonts w:ascii="CenturyGothic" w:hAnsi="CenturyGothic" w:cs="CenturyGothic"/>
          <w:color w:val="000000"/>
          <w:sz w:val="26"/>
          <w:szCs w:val="26"/>
        </w:rPr>
        <w:t>y</w:t>
      </w:r>
      <w:proofErr w:type="gramEnd"/>
      <w:r>
        <w:rPr>
          <w:rFonts w:ascii="CenturyGothic" w:hAnsi="CenturyGothic" w:cs="CenturyGothic"/>
          <w:color w:val="000000"/>
          <w:sz w:val="26"/>
          <w:szCs w:val="26"/>
        </w:rPr>
        <w:t xml:space="preserve"> visiones de mujeres y hombres, así como de sus respectivos niveles de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proofErr w:type="gramStart"/>
      <w:r>
        <w:rPr>
          <w:rFonts w:ascii="CenturyGothic" w:hAnsi="CenturyGothic" w:cs="CenturyGothic"/>
          <w:color w:val="000000"/>
          <w:sz w:val="26"/>
          <w:szCs w:val="26"/>
        </w:rPr>
        <w:t>participación</w:t>
      </w:r>
      <w:proofErr w:type="gramEnd"/>
      <w:r>
        <w:rPr>
          <w:rFonts w:ascii="CenturyGothic" w:hAnsi="CenturyGothic" w:cs="CenturyGothic"/>
          <w:color w:val="000000"/>
          <w:sz w:val="26"/>
          <w:szCs w:val="26"/>
        </w:rPr>
        <w:t xml:space="preserve"> e influencia en la toma de decisiones. Va más allá de un simple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reconocimiento de diferencias, busca desarrollar relaciones más equitativas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entre mujeres y hombres.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r>
        <w:rPr>
          <w:rFonts w:ascii="CenturyGothic" w:hAnsi="CenturyGothic" w:cs="CenturyGothic"/>
          <w:color w:val="000000"/>
          <w:sz w:val="26"/>
          <w:szCs w:val="26"/>
        </w:rPr>
        <w:t>Estos principios han sido tomados en cuenta en mandatos de las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 xml:space="preserve">Naciones Unidas acerca de la </w:t>
      </w:r>
      <w:proofErr w:type="spellStart"/>
      <w:r>
        <w:rPr>
          <w:rFonts w:ascii="CenturyGothic" w:hAnsi="CenturyGothic" w:cs="CenturyGothic"/>
          <w:color w:val="000000"/>
          <w:sz w:val="26"/>
          <w:szCs w:val="26"/>
        </w:rPr>
        <w:t>transversalización</w:t>
      </w:r>
      <w:proofErr w:type="spellEnd"/>
      <w:r>
        <w:rPr>
          <w:rFonts w:ascii="CenturyGothic" w:hAnsi="CenturyGothic" w:cs="CenturyGothic"/>
          <w:color w:val="000000"/>
          <w:sz w:val="26"/>
          <w:szCs w:val="26"/>
        </w:rPr>
        <w:t xml:space="preserve"> del género. En el año 2005,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por ejemplo, el Consejo Económico y Social de las Naciones Unidas (ECOSOC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proofErr w:type="spellStart"/>
      <w:r>
        <w:rPr>
          <w:rFonts w:ascii="CenturyGothic" w:hAnsi="CenturyGothic" w:cs="CenturyGothic"/>
          <w:color w:val="000000"/>
          <w:sz w:val="26"/>
          <w:szCs w:val="26"/>
        </w:rPr>
        <w:t>United</w:t>
      </w:r>
      <w:proofErr w:type="spellEnd"/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proofErr w:type="spellStart"/>
      <w:r>
        <w:rPr>
          <w:rFonts w:ascii="CenturyGothic" w:hAnsi="CenturyGothic" w:cs="CenturyGothic"/>
          <w:color w:val="000000"/>
          <w:sz w:val="26"/>
          <w:szCs w:val="26"/>
        </w:rPr>
        <w:t>Nations</w:t>
      </w:r>
      <w:proofErr w:type="spellEnd"/>
      <w:r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proofErr w:type="spellStart"/>
      <w:r>
        <w:rPr>
          <w:rFonts w:ascii="CenturyGothic" w:hAnsi="CenturyGothic" w:cs="CenturyGothic"/>
          <w:color w:val="000000"/>
          <w:sz w:val="26"/>
          <w:szCs w:val="26"/>
        </w:rPr>
        <w:t>Economic</w:t>
      </w:r>
      <w:proofErr w:type="spellEnd"/>
      <w:r>
        <w:rPr>
          <w:rFonts w:ascii="CenturyGothic" w:hAnsi="CenturyGothic" w:cs="CenturyGothic"/>
          <w:color w:val="000000"/>
          <w:sz w:val="26"/>
          <w:szCs w:val="26"/>
        </w:rPr>
        <w:t xml:space="preserve"> and Social Council) adoptó una resolución para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proofErr w:type="gramStart"/>
      <w:r>
        <w:rPr>
          <w:rFonts w:ascii="CenturyGothic" w:hAnsi="CenturyGothic" w:cs="CenturyGothic"/>
          <w:color w:val="000000"/>
          <w:sz w:val="26"/>
          <w:szCs w:val="26"/>
        </w:rPr>
        <w:t>asegurar</w:t>
      </w:r>
      <w:proofErr w:type="gramEnd"/>
      <w:r>
        <w:rPr>
          <w:rFonts w:ascii="CenturyGothic" w:hAnsi="CenturyGothic" w:cs="CenturyGothic"/>
          <w:color w:val="000000"/>
          <w:sz w:val="26"/>
          <w:szCs w:val="26"/>
        </w:rPr>
        <w:t xml:space="preserve"> la </w:t>
      </w:r>
      <w:proofErr w:type="spellStart"/>
      <w:r>
        <w:rPr>
          <w:rFonts w:ascii="CenturyGothic" w:hAnsi="CenturyGothic" w:cs="CenturyGothic"/>
          <w:color w:val="000000"/>
          <w:sz w:val="26"/>
          <w:szCs w:val="26"/>
        </w:rPr>
        <w:t>transversalización</w:t>
      </w:r>
      <w:proofErr w:type="spellEnd"/>
      <w:r>
        <w:rPr>
          <w:rFonts w:ascii="CenturyGothic" w:hAnsi="CenturyGothic" w:cs="CenturyGothic"/>
          <w:color w:val="000000"/>
          <w:sz w:val="26"/>
          <w:szCs w:val="26"/>
        </w:rPr>
        <w:t xml:space="preserve"> de una perspectiva de género en todas las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proofErr w:type="gramStart"/>
      <w:r>
        <w:rPr>
          <w:rFonts w:ascii="CenturyGothic" w:hAnsi="CenturyGothic" w:cs="CenturyGothic"/>
          <w:color w:val="000000"/>
          <w:sz w:val="26"/>
          <w:szCs w:val="26"/>
        </w:rPr>
        <w:t>políticas</w:t>
      </w:r>
      <w:proofErr w:type="gramEnd"/>
      <w:r>
        <w:rPr>
          <w:rFonts w:ascii="CenturyGothic" w:hAnsi="CenturyGothic" w:cs="CenturyGothic"/>
          <w:color w:val="000000"/>
          <w:sz w:val="26"/>
          <w:szCs w:val="26"/>
        </w:rPr>
        <w:t xml:space="preserve"> y programas del sistema de las Naciones Unidas.</w:t>
      </w:r>
    </w:p>
    <w:p w:rsidR="00EE7D47" w:rsidRDefault="00EE7D47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r>
        <w:rPr>
          <w:rFonts w:ascii="CenturyGothic" w:hAnsi="CenturyGothic" w:cs="CenturyGothic"/>
          <w:color w:val="000000"/>
          <w:sz w:val="26"/>
          <w:szCs w:val="26"/>
        </w:rPr>
        <w:t>La resolución del ECOSOC exhorta “a todas las entidades del sistema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proofErr w:type="gramStart"/>
      <w:r>
        <w:rPr>
          <w:rFonts w:ascii="CenturyGothic" w:hAnsi="CenturyGothic" w:cs="CenturyGothic"/>
          <w:color w:val="000000"/>
          <w:sz w:val="26"/>
          <w:szCs w:val="26"/>
        </w:rPr>
        <w:lastRenderedPageBreak/>
        <w:t>de</w:t>
      </w:r>
      <w:proofErr w:type="gramEnd"/>
      <w:r>
        <w:rPr>
          <w:rFonts w:ascii="CenturyGothic" w:hAnsi="CenturyGothic" w:cs="CenturyGothic"/>
          <w:color w:val="000000"/>
          <w:sz w:val="26"/>
          <w:szCs w:val="26"/>
        </w:rPr>
        <w:t xml:space="preserve"> las Naciones Unidas, incluidos los organismos, fondos y programas de las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Naciones Unidas, a intensificar los esfuerzos encaminados a resolver los problemas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de la integración de la perspectiva de género en las políticas y los programas”</w:t>
      </w:r>
    </w:p>
    <w:p w:rsidR="00EE7D47" w:rsidRDefault="00EE7D47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r>
        <w:rPr>
          <w:rFonts w:ascii="CenturyGothic" w:hAnsi="CenturyGothic" w:cs="CenturyGothic"/>
          <w:color w:val="000000"/>
          <w:sz w:val="26"/>
          <w:szCs w:val="26"/>
        </w:rPr>
        <w:t>En un estudio pionero sobre género y la erradicación de la pobreza,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proofErr w:type="gramStart"/>
      <w:r>
        <w:rPr>
          <w:rFonts w:ascii="CenturyGothic" w:hAnsi="CenturyGothic" w:cs="CenturyGothic"/>
          <w:color w:val="000000"/>
          <w:sz w:val="26"/>
          <w:szCs w:val="26"/>
        </w:rPr>
        <w:t>se</w:t>
      </w:r>
      <w:proofErr w:type="gramEnd"/>
      <w:r>
        <w:rPr>
          <w:rFonts w:ascii="CenturyGothic" w:hAnsi="CenturyGothic" w:cs="CenturyGothic"/>
          <w:color w:val="000000"/>
          <w:sz w:val="26"/>
          <w:szCs w:val="26"/>
        </w:rPr>
        <w:t xml:space="preserve"> han identificado dos impedimentos fundamentales para la </w:t>
      </w:r>
      <w:proofErr w:type="spellStart"/>
      <w:r>
        <w:rPr>
          <w:rFonts w:ascii="CenturyGothic" w:hAnsi="CenturyGothic" w:cs="CenturyGothic"/>
          <w:color w:val="000000"/>
          <w:sz w:val="26"/>
          <w:szCs w:val="26"/>
        </w:rPr>
        <w:t>transversalización</w:t>
      </w:r>
      <w:proofErr w:type="spellEnd"/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del género (</w:t>
      </w:r>
      <w:proofErr w:type="spellStart"/>
      <w:r>
        <w:rPr>
          <w:rFonts w:ascii="CenturyGothic" w:hAnsi="CenturyGothic" w:cs="CenturyGothic"/>
          <w:color w:val="000000"/>
          <w:sz w:val="26"/>
          <w:szCs w:val="26"/>
        </w:rPr>
        <w:t>Kabeer</w:t>
      </w:r>
      <w:proofErr w:type="spellEnd"/>
      <w:r>
        <w:rPr>
          <w:rFonts w:ascii="CenturyGothic" w:hAnsi="CenturyGothic" w:cs="CenturyGothic"/>
          <w:color w:val="000000"/>
          <w:sz w:val="26"/>
          <w:szCs w:val="26"/>
        </w:rPr>
        <w:t>, 2003). Estos son la ausencia del enfoque de género como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un elemento esencial/central de las organizaciones formuladoras de políticas y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la limitada consulta a los principales grupos de inter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>és</w:t>
      </w:r>
      <w:r>
        <w:rPr>
          <w:rFonts w:ascii="CenturyGothic" w:hAnsi="CenturyGothic" w:cs="CenturyGothic"/>
          <w:color w:val="000000"/>
          <w:sz w:val="26"/>
          <w:szCs w:val="26"/>
        </w:rPr>
        <w:t>.</w:t>
      </w:r>
    </w:p>
    <w:p w:rsidR="00EE7D47" w:rsidRDefault="00EE7D47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-Bold" w:hAnsi="CenturyGothic-Bold" w:cs="CenturyGothic-Bold"/>
          <w:b/>
          <w:bCs/>
          <w:color w:val="000000"/>
          <w:sz w:val="28"/>
          <w:szCs w:val="28"/>
        </w:rPr>
      </w:pPr>
      <w:r>
        <w:rPr>
          <w:rFonts w:ascii="CenturyGothic-Bold" w:hAnsi="CenturyGothic-Bold" w:cs="CenturyGothic-Bold"/>
          <w:b/>
          <w:bCs/>
          <w:color w:val="000000"/>
          <w:sz w:val="28"/>
          <w:szCs w:val="28"/>
        </w:rPr>
        <w:t>1.3 Condición especial de la mujer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r>
        <w:rPr>
          <w:rFonts w:ascii="CenturyGothic" w:hAnsi="CenturyGothic" w:cs="CenturyGothic"/>
          <w:color w:val="000000"/>
          <w:sz w:val="26"/>
          <w:szCs w:val="26"/>
        </w:rPr>
        <w:t>Al aplicar una perspectiva de género, se debe prestar atención a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lo que se ha denominado la “condición especial de la mujer”, es decir, los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factores y mecanismos sociales, económicos y culturales que mantienen a la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mujer en una situación de desventaja y subordinación con respecto al hombre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>.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FFFFFF"/>
          <w:sz w:val="24"/>
          <w:szCs w:val="24"/>
        </w:rPr>
      </w:pPr>
      <w:r>
        <w:rPr>
          <w:rFonts w:ascii="CenturyGothic" w:hAnsi="CenturyGothic" w:cs="CenturyGothic"/>
          <w:color w:val="FFFFFF"/>
          <w:sz w:val="24"/>
          <w:szCs w:val="24"/>
        </w:rPr>
        <w:t>20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r>
        <w:rPr>
          <w:rFonts w:ascii="CenturyGothic" w:hAnsi="CenturyGothic" w:cs="CenturyGothic"/>
          <w:color w:val="000000"/>
          <w:sz w:val="26"/>
          <w:szCs w:val="26"/>
        </w:rPr>
        <w:t>Se puede requerir que los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gobiernos actúen para compensar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las desigualdades inherentes a la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 xml:space="preserve">condición especial de la mujer. 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Esto puede incluir </w:t>
      </w:r>
      <w:r>
        <w:rPr>
          <w:rFonts w:ascii="CenturyGothic" w:hAnsi="CenturyGothic" w:cs="CenturyGothic"/>
          <w:color w:val="000000"/>
          <w:sz w:val="26"/>
          <w:szCs w:val="26"/>
        </w:rPr>
        <w:t>el establecimiento de medidas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especiales que faciliten el acceso de</w:t>
      </w:r>
    </w:p>
    <w:p w:rsidR="00801871" w:rsidRDefault="00801871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proofErr w:type="gramStart"/>
      <w:r>
        <w:rPr>
          <w:rFonts w:ascii="CenturyGothic" w:hAnsi="CenturyGothic" w:cs="CenturyGothic"/>
          <w:color w:val="000000"/>
          <w:sz w:val="26"/>
          <w:szCs w:val="26"/>
        </w:rPr>
        <w:t>la</w:t>
      </w:r>
      <w:proofErr w:type="gramEnd"/>
      <w:r>
        <w:rPr>
          <w:rFonts w:ascii="CenturyGothic" w:hAnsi="CenturyGothic" w:cs="CenturyGothic"/>
          <w:color w:val="000000"/>
          <w:sz w:val="26"/>
          <w:szCs w:val="26"/>
        </w:rPr>
        <w:t xml:space="preserve"> mujer a información, tecnologías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y su participación en la definición</w:t>
      </w:r>
    </w:p>
    <w:p w:rsidR="00624D45" w:rsidRDefault="00801871" w:rsidP="00624D45">
      <w:pPr>
        <w:autoSpaceDE w:val="0"/>
        <w:autoSpaceDN w:val="0"/>
        <w:adjustRightInd w:val="0"/>
        <w:spacing w:after="0" w:line="240" w:lineRule="auto"/>
        <w:jc w:val="both"/>
        <w:rPr>
          <w:rFonts w:ascii="HelveticaNeue-Bold" w:hAnsi="HelveticaNeue-Bold" w:cs="HelveticaNeue-Bold"/>
          <w:b/>
          <w:bCs/>
          <w:color w:val="FFFFFF"/>
          <w:sz w:val="28"/>
          <w:szCs w:val="28"/>
        </w:rPr>
      </w:pPr>
      <w:proofErr w:type="gramStart"/>
      <w:r>
        <w:rPr>
          <w:rFonts w:ascii="CenturyGothic" w:hAnsi="CenturyGothic" w:cs="CenturyGothic"/>
          <w:color w:val="000000"/>
          <w:sz w:val="26"/>
          <w:szCs w:val="26"/>
        </w:rPr>
        <w:t>de</w:t>
      </w:r>
      <w:proofErr w:type="gramEnd"/>
      <w:r>
        <w:rPr>
          <w:rFonts w:ascii="CenturyGothic" w:hAnsi="CenturyGothic" w:cs="CenturyGothic"/>
          <w:color w:val="000000"/>
          <w:sz w:val="26"/>
          <w:szCs w:val="26"/>
        </w:rPr>
        <w:t xml:space="preserve"> procedimientos de mecanismos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financieros, entre otros.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Erradicar prácticas discriminatorias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y desarrollar oportunidades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significativas para la participación de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las mujeres en todos los niveles de la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toma de decisiones tomará tiempo y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esfuerzo. Requerirá del compromiso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por parte de quienes toman decisiones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y de las mujeres mismas. Para asegurar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este compromiso se necesitará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adoptar políticas y legislación para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garantizar que la participación de las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mujeres y las consultas con mujeres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les brinden una oportunidad de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incidir en el resultado de los procesos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de toma de decisiones. Desarrollar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semejantes procesos y asegurar la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coherencia y continuidad en relación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con la igualdad y equidad de género,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 xml:space="preserve">requiere la </w:t>
      </w:r>
      <w:proofErr w:type="spellStart"/>
      <w:r>
        <w:rPr>
          <w:rFonts w:ascii="CenturyGothic" w:hAnsi="CenturyGothic" w:cs="CenturyGothic"/>
          <w:color w:val="000000"/>
          <w:sz w:val="26"/>
          <w:szCs w:val="26"/>
        </w:rPr>
        <w:t>transversalización</w:t>
      </w:r>
      <w:proofErr w:type="spellEnd"/>
      <w:r>
        <w:rPr>
          <w:rFonts w:ascii="CenturyGothic" w:hAnsi="CenturyGothic" w:cs="CenturyGothic"/>
          <w:color w:val="000000"/>
          <w:sz w:val="26"/>
          <w:szCs w:val="26"/>
        </w:rPr>
        <w:t xml:space="preserve"> del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género en la formulación de políticas</w:t>
      </w:r>
      <w:r w:rsidR="00EE7D47">
        <w:rPr>
          <w:rFonts w:ascii="CenturyGothic" w:hAnsi="CenturyGothic" w:cs="CenturyGothic"/>
          <w:color w:val="000000"/>
          <w:sz w:val="26"/>
          <w:szCs w:val="26"/>
        </w:rPr>
        <w:t xml:space="preserve"> </w:t>
      </w:r>
      <w:r>
        <w:rPr>
          <w:rFonts w:ascii="CenturyGothic" w:hAnsi="CenturyGothic" w:cs="CenturyGothic"/>
          <w:color w:val="000000"/>
          <w:sz w:val="26"/>
          <w:szCs w:val="26"/>
        </w:rPr>
        <w:t>en todos los niveles.</w:t>
      </w:r>
    </w:p>
    <w:p w:rsidR="00624D45" w:rsidRDefault="00624D45" w:rsidP="00624D45">
      <w:pPr>
        <w:autoSpaceDE w:val="0"/>
        <w:autoSpaceDN w:val="0"/>
        <w:adjustRightInd w:val="0"/>
        <w:spacing w:after="0" w:line="240" w:lineRule="auto"/>
        <w:jc w:val="both"/>
        <w:rPr>
          <w:rFonts w:ascii="HelveticaNeue-Bold" w:hAnsi="HelveticaNeue-Bold" w:cs="HelveticaNeue-Bold"/>
          <w:b/>
          <w:bCs/>
          <w:color w:val="FFFFFF"/>
          <w:sz w:val="28"/>
          <w:szCs w:val="28"/>
        </w:rPr>
      </w:pPr>
    </w:p>
    <w:p w:rsidR="00624D45" w:rsidRPr="00224C4F" w:rsidRDefault="00624D45" w:rsidP="00624D4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HelveticaNeue-Bold"/>
          <w:b/>
          <w:bCs/>
          <w:color w:val="FFFFFF"/>
          <w:sz w:val="26"/>
          <w:szCs w:val="26"/>
        </w:rPr>
      </w:pPr>
      <w:r w:rsidRPr="00224C4F">
        <w:rPr>
          <w:rFonts w:ascii="Century Gothic" w:hAnsi="Century Gothic" w:cs="HelveticaNeue"/>
          <w:color w:val="000000"/>
          <w:sz w:val="26"/>
          <w:szCs w:val="26"/>
        </w:rPr>
        <w:t>La condición especial de la mujer consiste en factores y mecanismos sociales,</w:t>
      </w:r>
      <w:r w:rsidR="00224C4F" w:rsidRPr="00224C4F">
        <w:rPr>
          <w:rFonts w:ascii="Century Gothic" w:hAnsi="Century Gothic" w:cs="HelveticaNeue-Bold"/>
          <w:b/>
          <w:bCs/>
          <w:color w:val="FFFFFF"/>
          <w:sz w:val="26"/>
          <w:szCs w:val="26"/>
        </w:rPr>
        <w:t xml:space="preserve"> </w:t>
      </w:r>
      <w:r w:rsidRPr="00224C4F">
        <w:rPr>
          <w:rFonts w:ascii="Century Gothic" w:hAnsi="Century Gothic" w:cs="HelveticaNeue"/>
          <w:color w:val="000000"/>
          <w:sz w:val="26"/>
          <w:szCs w:val="26"/>
        </w:rPr>
        <w:t xml:space="preserve">económicos y culturales que mantienen a la mujer en una situación de desventaja y subordinación con respecto al hombre. Esa subordinación se expresa de varias maneras dependiendo del contexto histórico y cultural. Utilizar la condición de la mujer como un instrumento conceptual y operativo para el análisis, conlleva la consideración de su condición material, o de hasta qué nivel se </w:t>
      </w:r>
      <w:r w:rsidRPr="00224C4F">
        <w:rPr>
          <w:rFonts w:ascii="Century Gothic" w:hAnsi="Century Gothic" w:cs="HelveticaNeue"/>
          <w:color w:val="000000"/>
          <w:sz w:val="26"/>
          <w:szCs w:val="26"/>
        </w:rPr>
        <w:lastRenderedPageBreak/>
        <w:t>satisfacen sus “necesidades prácticas”, tales como, acceso al agua, electricidad, vivienda, asistencia médica, empleo y servicios que generan ingresos. Este concepto conecta el bienestar material de la mujer con circunstancias específicas que rodean su entorno social y los roles y responsabilidades que la sociedad otorga a la mujer.</w:t>
      </w:r>
    </w:p>
    <w:p w:rsidR="00624D45" w:rsidRPr="00224C4F" w:rsidRDefault="00624D45" w:rsidP="00624D4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HelveticaNeue"/>
          <w:color w:val="000000"/>
        </w:rPr>
      </w:pPr>
      <w:r w:rsidRPr="00224C4F">
        <w:rPr>
          <w:rFonts w:ascii="Century Gothic" w:hAnsi="Century Gothic" w:cs="HelveticaNeue-Italic"/>
          <w:i/>
          <w:iCs/>
          <w:color w:val="000000"/>
        </w:rPr>
        <w:t xml:space="preserve">Fuente: </w:t>
      </w:r>
      <w:r w:rsidRPr="00224C4F">
        <w:rPr>
          <w:rFonts w:ascii="Century Gothic" w:hAnsi="Century Gothic" w:cs="HelveticaNeue"/>
          <w:color w:val="000000"/>
        </w:rPr>
        <w:t>USAID, 2007.</w:t>
      </w:r>
    </w:p>
    <w:p w:rsidR="00624D45" w:rsidRPr="00624D45" w:rsidRDefault="00624D45" w:rsidP="00624D4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Gothic"/>
          <w:color w:val="000000"/>
        </w:rPr>
      </w:pPr>
    </w:p>
    <w:p w:rsidR="00624D45" w:rsidRPr="00624D45" w:rsidRDefault="00624D45" w:rsidP="00624D4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</w:rPr>
      </w:pPr>
    </w:p>
    <w:p w:rsidR="00624D45" w:rsidRDefault="00624D45" w:rsidP="00801871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6"/>
          <w:szCs w:val="26"/>
        </w:rPr>
      </w:pPr>
      <w:r>
        <w:rPr>
          <w:rFonts w:ascii="CenturyGothic" w:hAnsi="CenturyGothic" w:cs="CenturyGothic"/>
          <w:color w:val="000000"/>
          <w:sz w:val="26"/>
          <w:szCs w:val="26"/>
        </w:rPr>
        <w:t>Bibliografía</w:t>
      </w:r>
    </w:p>
    <w:p w:rsidR="00801871" w:rsidRPr="00624D45" w:rsidRDefault="00801871" w:rsidP="00624D45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4"/>
          <w:szCs w:val="24"/>
        </w:rPr>
      </w:pPr>
      <w:r w:rsidRPr="00624D45">
        <w:rPr>
          <w:rFonts w:ascii="CenturyGothic" w:hAnsi="CenturyGothic" w:cs="CenturyGothic"/>
          <w:color w:val="000000"/>
          <w:sz w:val="24"/>
          <w:szCs w:val="24"/>
        </w:rPr>
        <w:t>Alfaro, C. (1999). Develando el género: Elementos conceptuales básicos para</w:t>
      </w:r>
      <w:r w:rsidR="00624D45" w:rsidRPr="00624D45">
        <w:rPr>
          <w:rFonts w:ascii="CenturyGothic" w:hAnsi="CenturyGothic" w:cs="CenturyGothic"/>
          <w:color w:val="000000"/>
          <w:sz w:val="24"/>
          <w:szCs w:val="24"/>
        </w:rPr>
        <w:t xml:space="preserve"> e</w:t>
      </w:r>
      <w:r w:rsidRPr="00624D45">
        <w:rPr>
          <w:rFonts w:ascii="CenturyGothic" w:hAnsi="CenturyGothic" w:cs="CenturyGothic"/>
          <w:color w:val="000000"/>
          <w:sz w:val="24"/>
          <w:szCs w:val="24"/>
        </w:rPr>
        <w:t>ntender la equidad. Serie Hacia la Equidad. UICN-Fundación Arias.</w:t>
      </w:r>
    </w:p>
    <w:p w:rsidR="00801871" w:rsidRPr="00624D45" w:rsidRDefault="00801871" w:rsidP="00624D45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4"/>
          <w:szCs w:val="24"/>
          <w:lang w:val="en-US"/>
        </w:rPr>
      </w:pPr>
      <w:proofErr w:type="spellStart"/>
      <w:r w:rsidRPr="00056AFE">
        <w:rPr>
          <w:rFonts w:ascii="CenturyGothic" w:hAnsi="CenturyGothic" w:cs="CenturyGothic"/>
          <w:color w:val="000000"/>
          <w:sz w:val="24"/>
          <w:szCs w:val="24"/>
          <w:lang w:val="en-US"/>
        </w:rPr>
        <w:t>Kabeer</w:t>
      </w:r>
      <w:proofErr w:type="spellEnd"/>
      <w:r w:rsidRPr="00056AFE">
        <w:rPr>
          <w:rFonts w:ascii="CenturyGothic" w:hAnsi="CenturyGothic" w:cs="CenturyGothic"/>
          <w:color w:val="000000"/>
          <w:sz w:val="24"/>
          <w:szCs w:val="24"/>
          <w:lang w:val="en-US"/>
        </w:rPr>
        <w:t xml:space="preserve">, N. (2003). </w:t>
      </w:r>
      <w:r w:rsidRPr="00624D45">
        <w:rPr>
          <w:rFonts w:ascii="CenturyGothic" w:hAnsi="CenturyGothic" w:cs="CenturyGothic"/>
          <w:color w:val="000000"/>
          <w:sz w:val="24"/>
          <w:szCs w:val="24"/>
          <w:lang w:val="en-US"/>
        </w:rPr>
        <w:t>Gender Mainstreaming in Poverty Eradication and the</w:t>
      </w:r>
    </w:p>
    <w:p w:rsidR="00801871" w:rsidRPr="00624D45" w:rsidRDefault="00801871" w:rsidP="00624D45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4"/>
          <w:szCs w:val="24"/>
          <w:lang w:val="en-US"/>
        </w:rPr>
      </w:pPr>
      <w:r w:rsidRPr="00624D45">
        <w:rPr>
          <w:rFonts w:ascii="CenturyGothic" w:hAnsi="CenturyGothic" w:cs="CenturyGothic"/>
          <w:color w:val="000000"/>
          <w:sz w:val="24"/>
          <w:szCs w:val="24"/>
          <w:lang w:val="en-US"/>
        </w:rPr>
        <w:t>Millennium Development Goals: A handbook for policy-makers and other</w:t>
      </w:r>
    </w:p>
    <w:p w:rsidR="00801871" w:rsidRPr="00624D45" w:rsidRDefault="00801871" w:rsidP="00624D45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4"/>
          <w:szCs w:val="24"/>
          <w:lang w:val="en-US"/>
        </w:rPr>
      </w:pPr>
      <w:proofErr w:type="gramStart"/>
      <w:r w:rsidRPr="00624D45">
        <w:rPr>
          <w:rFonts w:ascii="CenturyGothic" w:hAnsi="CenturyGothic" w:cs="CenturyGothic"/>
          <w:color w:val="000000"/>
          <w:sz w:val="24"/>
          <w:szCs w:val="24"/>
          <w:lang w:val="en-US"/>
        </w:rPr>
        <w:t>stakeholders</w:t>
      </w:r>
      <w:proofErr w:type="gramEnd"/>
      <w:r w:rsidRPr="00624D45">
        <w:rPr>
          <w:rFonts w:ascii="CenturyGothic" w:hAnsi="CenturyGothic" w:cs="CenturyGothic"/>
          <w:color w:val="000000"/>
          <w:sz w:val="24"/>
          <w:szCs w:val="24"/>
          <w:lang w:val="en-US"/>
        </w:rPr>
        <w:t>. RU: Commonwealth Secretariat, International Development</w:t>
      </w:r>
    </w:p>
    <w:p w:rsidR="00801871" w:rsidRPr="00624D45" w:rsidRDefault="00801871" w:rsidP="00624D45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4"/>
          <w:szCs w:val="24"/>
          <w:lang w:val="en-US"/>
        </w:rPr>
      </w:pPr>
      <w:proofErr w:type="gramStart"/>
      <w:r w:rsidRPr="00624D45">
        <w:rPr>
          <w:rFonts w:ascii="CenturyGothic" w:hAnsi="CenturyGothic" w:cs="CenturyGothic"/>
          <w:color w:val="000000"/>
          <w:sz w:val="24"/>
          <w:szCs w:val="24"/>
          <w:lang w:val="en-US"/>
        </w:rPr>
        <w:t>Research Centre, Canadian International Development Agency.</w:t>
      </w:r>
      <w:proofErr w:type="gramEnd"/>
    </w:p>
    <w:p w:rsidR="00801871" w:rsidRPr="00624D45" w:rsidRDefault="00801871" w:rsidP="00624D45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4"/>
          <w:szCs w:val="24"/>
          <w:lang w:val="en-US"/>
        </w:rPr>
      </w:pPr>
      <w:r w:rsidRPr="00624D45">
        <w:rPr>
          <w:rFonts w:ascii="CenturyGothic" w:hAnsi="CenturyGothic" w:cs="CenturyGothic"/>
          <w:color w:val="000000"/>
          <w:sz w:val="24"/>
          <w:szCs w:val="24"/>
          <w:lang w:val="en-US"/>
        </w:rPr>
        <w:t>Kanji, N. (2003). Mind the Gap: Mainstreaming Gender and Participation</w:t>
      </w:r>
    </w:p>
    <w:p w:rsidR="00801871" w:rsidRPr="00624D45" w:rsidRDefault="00801871" w:rsidP="00624D45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4"/>
          <w:szCs w:val="24"/>
          <w:lang w:val="en-US"/>
        </w:rPr>
      </w:pPr>
      <w:proofErr w:type="gramStart"/>
      <w:r w:rsidRPr="00624D45">
        <w:rPr>
          <w:rFonts w:ascii="CenturyGothic" w:hAnsi="CenturyGothic" w:cs="CenturyGothic"/>
          <w:color w:val="000000"/>
          <w:sz w:val="24"/>
          <w:szCs w:val="24"/>
          <w:lang w:val="en-US"/>
        </w:rPr>
        <w:t>Development.</w:t>
      </w:r>
      <w:proofErr w:type="gramEnd"/>
      <w:r w:rsidRPr="00624D45">
        <w:rPr>
          <w:rFonts w:ascii="CenturyGothic" w:hAnsi="CenturyGothic" w:cs="CenturyGothic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624D45">
        <w:rPr>
          <w:rFonts w:ascii="CenturyGothic" w:hAnsi="CenturyGothic" w:cs="CenturyGothic"/>
          <w:color w:val="000000"/>
          <w:sz w:val="24"/>
          <w:szCs w:val="24"/>
          <w:lang w:val="en-US"/>
        </w:rPr>
        <w:t>Institutionalising</w:t>
      </w:r>
      <w:proofErr w:type="spellEnd"/>
      <w:r w:rsidRPr="00624D45">
        <w:rPr>
          <w:rFonts w:ascii="CenturyGothic" w:hAnsi="CenturyGothic" w:cs="CenturyGothic"/>
          <w:color w:val="000000"/>
          <w:sz w:val="24"/>
          <w:szCs w:val="24"/>
          <w:lang w:val="en-US"/>
        </w:rPr>
        <w:t xml:space="preserve"> Participation series.</w:t>
      </w:r>
      <w:proofErr w:type="gramEnd"/>
      <w:r w:rsidRPr="00624D45">
        <w:rPr>
          <w:rFonts w:ascii="CenturyGothic" w:hAnsi="CenturyGothic" w:cs="CenturyGothic"/>
          <w:color w:val="000000"/>
          <w:sz w:val="24"/>
          <w:szCs w:val="24"/>
          <w:lang w:val="en-US"/>
        </w:rPr>
        <w:t xml:space="preserve"> RU: IIED and IDS</w:t>
      </w:r>
    </w:p>
    <w:p w:rsidR="00801871" w:rsidRPr="00624D45" w:rsidRDefault="00801871" w:rsidP="00624D45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4"/>
          <w:szCs w:val="24"/>
        </w:rPr>
      </w:pPr>
      <w:r w:rsidRPr="00624D45">
        <w:rPr>
          <w:rFonts w:ascii="CenturyGothic" w:hAnsi="CenturyGothic" w:cs="CenturyGothic"/>
          <w:color w:val="000000"/>
          <w:sz w:val="24"/>
          <w:szCs w:val="24"/>
          <w:lang w:val="en-US"/>
        </w:rPr>
        <w:t xml:space="preserve">PNUD. (2000). Learning &amp; Information Pack: Gender Mainstreaming. </w:t>
      </w:r>
      <w:r w:rsidRPr="00624D45">
        <w:rPr>
          <w:rFonts w:ascii="CenturyGothic" w:hAnsi="CenturyGothic" w:cs="CenturyGothic"/>
          <w:color w:val="000000"/>
          <w:sz w:val="24"/>
          <w:szCs w:val="24"/>
        </w:rPr>
        <w:t>EEUU:</w:t>
      </w:r>
    </w:p>
    <w:p w:rsidR="00801871" w:rsidRPr="00624D45" w:rsidRDefault="00801871" w:rsidP="00624D45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4"/>
          <w:szCs w:val="24"/>
        </w:rPr>
      </w:pPr>
      <w:r w:rsidRPr="00624D45">
        <w:rPr>
          <w:rFonts w:ascii="CenturyGothic" w:hAnsi="CenturyGothic" w:cs="CenturyGothic"/>
          <w:color w:val="000000"/>
          <w:sz w:val="24"/>
          <w:szCs w:val="24"/>
        </w:rPr>
        <w:t>Programa de Género en Desarrollo.</w:t>
      </w:r>
    </w:p>
    <w:p w:rsidR="00BB2B40" w:rsidRPr="00624D45" w:rsidRDefault="00801871" w:rsidP="00624D45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color w:val="000000"/>
          <w:sz w:val="24"/>
          <w:szCs w:val="24"/>
        </w:rPr>
      </w:pPr>
      <w:r w:rsidRPr="00056AFE">
        <w:rPr>
          <w:rFonts w:ascii="CenturyGothic" w:hAnsi="CenturyGothic" w:cs="CenturyGothic"/>
          <w:color w:val="000000"/>
          <w:sz w:val="24"/>
          <w:szCs w:val="24"/>
          <w:lang w:val="en-US"/>
        </w:rPr>
        <w:t xml:space="preserve">Social Watch. (2008). Gender Equity Index 2008. </w:t>
      </w:r>
      <w:r w:rsidRPr="00624D45">
        <w:rPr>
          <w:rFonts w:ascii="CenturyGothic" w:hAnsi="CenturyGothic" w:cs="CenturyGothic"/>
          <w:color w:val="000000"/>
          <w:sz w:val="24"/>
          <w:szCs w:val="24"/>
        </w:rPr>
        <w:t>Disponible en la Internet en:http://www.socialwatch.org/en/avancesyRetrocesos/IEG_2008/images/img_full/exterior_eng_gde.gif</w:t>
      </w:r>
    </w:p>
    <w:sectPr w:rsidR="00BB2B40" w:rsidRPr="00624D45" w:rsidSect="00BB2B4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HelveticaNe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Gothic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Gothic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D6F1A"/>
    <w:multiLevelType w:val="hybridMultilevel"/>
    <w:tmpl w:val="1F58E6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EC2241"/>
    <w:multiLevelType w:val="hybridMultilevel"/>
    <w:tmpl w:val="A364A0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08"/>
  <w:hyphenationZone w:val="425"/>
  <w:characterSpacingControl w:val="doNotCompress"/>
  <w:compat/>
  <w:rsids>
    <w:rsidRoot w:val="00801871"/>
    <w:rsid w:val="00056AFE"/>
    <w:rsid w:val="00224C4F"/>
    <w:rsid w:val="00624D45"/>
    <w:rsid w:val="007203EB"/>
    <w:rsid w:val="007D22C5"/>
    <w:rsid w:val="00801871"/>
    <w:rsid w:val="00895D30"/>
    <w:rsid w:val="009A2EFD"/>
    <w:rsid w:val="00AF4596"/>
    <w:rsid w:val="00B20DF4"/>
    <w:rsid w:val="00B67A90"/>
    <w:rsid w:val="00BB2B40"/>
    <w:rsid w:val="00D42BAB"/>
    <w:rsid w:val="00EE7D47"/>
    <w:rsid w:val="00F735B0"/>
    <w:rsid w:val="00FC0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B4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01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187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018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1999</Words>
  <Characters>10997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</dc:creator>
  <cp:lastModifiedBy>Micaela</cp:lastModifiedBy>
  <cp:revision>3</cp:revision>
  <dcterms:created xsi:type="dcterms:W3CDTF">2013-01-18T19:48:00Z</dcterms:created>
  <dcterms:modified xsi:type="dcterms:W3CDTF">2013-03-11T05:04:00Z</dcterms:modified>
</cp:coreProperties>
</file>